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186-2023 i Gotlands kommun</w:t>
      </w:r>
    </w:p>
    <w:p>
      <w:r>
        <w:t>Denna tillsynsbegäran behandlar höga naturvärden i avverkningsanmälan A 186-2023 i Gotlands kommun som inkom 2023-01-02 och omfattar 2,2 ha.</w:t>
      </w:r>
    </w:p>
    <w:p>
      <w:pPr>
        <w:pStyle w:val="Caption"/>
      </w:pPr>
      <w:r>
        <w:drawing>
          <wp:inline xmlns:a="http://schemas.openxmlformats.org/drawingml/2006/main" xmlns:pic="http://schemas.openxmlformats.org/drawingml/2006/picture">
            <wp:extent cx="5486400" cy="5526280"/>
            <wp:docPr id="1" name="Picture 1"/>
            <wp:cNvGraphicFramePr>
              <a:graphicFrameLocks noChangeAspect="1"/>
            </wp:cNvGraphicFramePr>
            <a:graphic>
              <a:graphicData uri="http://schemas.openxmlformats.org/drawingml/2006/picture">
                <pic:pic>
                  <pic:nvPicPr>
                    <pic:cNvPr id="0" name="A 186-2023 karta.png"/>
                    <pic:cNvPicPr/>
                  </pic:nvPicPr>
                  <pic:blipFill>
                    <a:blip r:embed="rId16"/>
                    <a:stretch>
                      <a:fillRect/>
                    </a:stretch>
                  </pic:blipFill>
                  <pic:spPr>
                    <a:xfrm>
                      <a:off x="0" y="0"/>
                      <a:ext cx="5486400" cy="552628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6397495, E 721991 i SWEREF 99 TM.</w:t>
      </w:r>
    </w:p>
    <w:p>
      <w:r>
        <w:t>I och inom 18 meter från avverkningsanmälan finns fynd av 10 naturvårdsarter, varav 6 är rödlistade, 2 är fridlysta, 3 är typiska (T) och 4 är signalarter (S): svartgrön spindling (VU), vit taggsvamp (VU), blå slemspindling (NT, T), bronspraktbagge (NT), odörspindling (NT), smedbock (NT), anisspindling (S), mindre märgborre (S, T), nästrot (S, §8) och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Bronspraktbagge (NT)</w:t>
      </w:r>
      <w:r>
        <w:t xml:space="preserve"> är en skalbagge vars larvutveckling sker i solexponerad, stående död ved av tall och gran. Arten missgynnas genom att glesa, äldre barrskogar avverkas och ersätts med täta barrträdsplanteringar. Äldre, glesa barrskogar med gott om grov död ved i främst sydöstra Sverige bör bevaras i sin helhet och inte avverkas. Bränd barrskog bör bevaras intakt, och naturvårdsbränningar är positivt. Torra, solexponerade barrträd i skogen bör få vara kvar, och inte plockas ut som exempelvis biobränsle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Smedbock (NT) </w:t>
      </w:r>
      <w:r>
        <w:t>är en skalbagge vars larvutveckling sker i solexponerad död ved av grövre dimensioner i torrträd, stubbar och lågor av barrträd, främst tall, undantagsvis gran. Flyghålen är upp till 15 mm breda med ojämn form och fransiga kanter. Fullbildade individer påträffas främst juli-augusti på lämplig ved, de är främst skymnings- och nattaktiva och dras till ljus. Arten hotas främst av slutavverkning av äldre tallskogar, men även av alltmer slutna och skuggiga skogsmiljöer till följd av igenväxning. Den viktigaste åtgärden är att bibehålla eller skapa glesa tallskogsmiljöer med gott om grov tallved. Inom brukad skog är det viktigt att lämna mer grov tallved, exempelvis i form av högstubbar, torrträd och lågor. Inom skyddade skogar är det gynnsamt med naturvårdsbränningar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Skogsknipprot (§8)</w:t>
      </w:r>
      <w:r>
        <w:t xml:space="preserve"> är fridlyst enligt 8§ artskyddsförordningen och typisk art för </w:t>
      </w:r>
      <w:r>
        <w:rPr>
          <w:i/>
        </w:rPr>
        <w:t>9050 Näringsrik granskog</w:t>
      </w:r>
      <w:r>
        <w:t xml:space="preserve"> (SLU Artdatabanken, 2025).</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