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20 naturvårdsarter, varav 16 är rödlistade, 3 är fridlysta, 4 är typiska (T) och 3 är signalarter (S): ask (EN), sienamusseron (EN), garderönn (VU, §7), gulsträngad fagerspindling (VU), svartgrön spindling (VU), trollspindling (VU), violettfläckig spindling (VU), backtimjan (NT), blå slemspindling (NT, T), denisespindling (NT), dårgräsfjäril (NT, §4a), flattoppad klubbsvamp (NT), odörspindling (NT), solvända (NT), svinrot (NT), vårärt (NT, T), anisspindling (S), grovticka (S, T), olivspindling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