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4469235"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44692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44 naturvårdsarter, varav 23 är rödlistade, 11 är fridlysta, 9 är typiska (T) och 15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olivspindling (S), purpurknipprot (S, §8), rödgul trumpetsvamp (S), skogsknipprot (S, T, §8), svavelriska (S), zontaggsvamp (S), blåsippa (T, §9), nattskärra (T, §4), spillkråka (T,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