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15850-2025 i Gotlands kommun</w:t>
      </w:r>
    </w:p>
    <w:p>
      <w:r>
        <w:t>Denna tillsynsbegäran behandlar höga naturvärden i avverkningsanmälan A 15850-2025 i Gotlands kommun som inkom 2025-04-01 och omfattar 5,1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15850-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6364975, E 697038 i SWEREF 99 TM.</w:t>
      </w:r>
    </w:p>
    <w:p>
      <w:r>
        <w:t>I och inom 24 meter från avverkningsanmälan finns fynd av 21 naturvårdsarter, varav 14 är rödlistade, 6 är fridlysta, 5 är typiska (T) och 5 är signalarter (S): granrotspindling (VU), gulsträngad fagerspindling (VU), narrspindling (VU), trollspindling (VU), tvillingspindling (VU), violettfläckig spindling (VU), backtimjan (NT), blå slemspindling (NT, T), denisespindling (NT), dårgräsfjäril (NT, §4a), gulsparv (NT, §4), jordtistel (NT), odörspindling (NT), svinrot (NT), anisspindling (S), grönpyrola (S, T), mindre märgborre (S, T), nästrot (S, §8), skogsknipprot (S, T, §8), spillkråka (T, §4)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Narrspindling (VU)</w:t>
      </w:r>
      <w:r>
        <w:t xml:space="preserve"> bildar mykorrhiza med tall på kalkrik mark i luckig kalktallskog. Den är placerad högst upp i Skogsstyrelsens värdepyramid för bedömning av skog med höga naturvärden och är i Norden bara känd från ett fåtal lokaler på Gotland. Arten är mycket sårbar genom sin fåtaliga förekomst och bedöms ha minskat och fortsätter att minska, huvudsakligen p.g.a. slutavverkningar av äldre barrskog (SLU Artdatabanken, 2024; Nitare &amp; Skogsstyrelsen,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Violettfläckig spindling (VU)</w:t>
      </w:r>
      <w:r>
        <w:t xml:space="preserve"> bildar mykorrhiza med gran och tall i äldre kalkbarrskogar på torr, örtrik mark. Minskningstakten uppgår till 30 % inom 50 år och överstiger gränsvärdet för Sårbar (VU). Artens ekologiska krav med fynd enbart i äldre, örtrika kalkbarrskogar med kontinuitet, miljöer som idag ofta är starkt hotade av slutavverkningar, gör den mycket sårbar. Alla kända lokaler har ett högt skyddsvärde och kalkbarrskogar med höga naturvärden bör få områdesskydd med individuellt anpassade skötselråd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slemspindling (NT, T), grönpyrola (S, T), mindre märgborre (S, T), skogsknipprot (S, T, §8)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