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2476-2025 i Gotlands kommun</w:t>
      </w:r>
    </w:p>
    <w:p>
      <w:r>
        <w:t>Detta dokument behandlar höga naturvärden i avverkningsanmälan A 2476-2025 i Gotlands kommun. Denna avverkningsanmälan inkom 2025-01-16 00:00:00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kryddspindling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7343"/>
            <wp:docPr id="1" name="Picture 1"/>
            <wp:cNvGraphicFramePr>
              <a:graphicFrameLocks noChangeAspect="1"/>
            </wp:cNvGraphicFramePr>
            <a:graphic>
              <a:graphicData uri="http://schemas.openxmlformats.org/drawingml/2006/picture">
                <pic:pic>
                  <pic:nvPicPr>
                    <pic:cNvPr id="0" name="A 2476-2025 karta.png"/>
                    <pic:cNvPicPr/>
                  </pic:nvPicPr>
                  <pic:blipFill>
                    <a:blip r:embed="rId16"/>
                    <a:stretch>
                      <a:fillRect/>
                    </a:stretch>
                  </pic:blipFill>
                  <pic:spPr>
                    <a:xfrm>
                      <a:off x="0" y="0"/>
                      <a:ext cx="5486400" cy="3267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6376158, E 708338 i SWEREF 99 TM.</w:t>
      </w:r>
    </w:p>
    <w:p>
      <w:r>
        <w:rPr>
          <w:b/>
        </w:rPr>
        <w:t>Kryddspindling</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Kryddspindling är typisk art för </w:t>
      </w:r>
      <w:r>
        <w:rPr>
          <w:i/>
        </w:rPr>
        <w:t xml:space="preserve">9050 Näringsrik granskog </w:t>
      </w:r>
      <w:r>
        <w:t>(Nitare &amp; Skogsstyrelsen, 2000;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