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6159-2023 i Gotlands kommun</w:t>
      </w:r>
    </w:p>
    <w:p>
      <w:r>
        <w:t>Denna tillsynsbegäran behandlar höga naturvärden i avverkningsanmälan A 6159-2023 i Gotlands kommun som inkom 2023-02-07 och omfattar 2,0 ha.</w:t>
      </w:r>
    </w:p>
    <w:p>
      <w:pPr>
        <w:pStyle w:val="Caption"/>
      </w:pPr>
      <w:r>
        <w:drawing>
          <wp:inline xmlns:a="http://schemas.openxmlformats.org/drawingml/2006/main" xmlns:pic="http://schemas.openxmlformats.org/drawingml/2006/picture">
            <wp:extent cx="5486400" cy="3799002"/>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37990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6418203, E 720434 i SWEREF 99 TM.</w:t>
      </w:r>
    </w:p>
    <w:p>
      <w:r>
        <w:t>I och inom 22 meter från avverkningsanmälan finns fynd av 7 naturvårdsarter, varav 5 är rödlistade, 1 är typisk (T) och 2 är signalarter (S): Coniocarpon fallax (CR), knölig taggsvamp (EN), gyllenspindling (VU), dofttaggsvamp (NT, T), odörspindling (NT), anisspindling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Coniocarpon fallax </w:t>
      </w:r>
      <w:r>
        <w:rPr>
          <w:b/>
        </w:rPr>
        <w:t>(CR)</w:t>
      </w:r>
      <w:r>
        <w:t xml:space="preserve"> förekommer på ask eller sällsynt på hassel. Askskottssjukan påverkar arten starkt negativt och Minskningstakten överstiger gränsvärdet för Akut hotad (CR) (SLU Artdatabanken, 2026).</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