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25218-2021 i Gotlands kommun</w:t>
      </w:r>
    </w:p>
    <w:p>
      <w:r>
        <w:t>Detta dokument behandlar höga naturvärden i avverkningsanmälan A 25218-2021 i Gotlands kommun. Denna avverkningsanmälan inkom 2021-05-26 00:00:00 och omfattar 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32 naturvårdsarter hittats: mörk lundlav (CR), ask (EN), ädellav (EN), almlav (VU), klosterlav (VU), mörk kraterlav (VU), rosa lundlav (VU), duvhök (NT, §4), grönsångare (NT, §4), Hypoxylon petriniae (NT), mindre hackspett (NT, §4), prydnadsbock (NT), rosa skärelav (NT), spillkråka (NT, §4), svart askbastborre (NT), tallticka (NT), björksplintborre (S), guldlockmossa (S), hasselsopp (S), lönnlav (S), mindre märgborre (S), nästrot (S, §8), rikfruktig blemlav (S), skogsknipprot (S, §8), slät lönnlav (S), sårläka (S), tvåblad (S, §8), halsbandsflugsnappare (§4), skogsduva (§4), sankt pers nycklar (§8), blåsippa (§9) och gullviva (§9). Av dessa är 16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6321"/>
            <wp:docPr id="1" name="Picture 1"/>
            <wp:cNvGraphicFramePr>
              <a:graphicFrameLocks noChangeAspect="1"/>
            </wp:cNvGraphicFramePr>
            <a:graphic>
              <a:graphicData uri="http://schemas.openxmlformats.org/drawingml/2006/picture">
                <pic:pic>
                  <pic:nvPicPr>
                    <pic:cNvPr id="0" name="A 25218-2021 karta.png"/>
                    <pic:cNvPicPr/>
                  </pic:nvPicPr>
                  <pic:blipFill>
                    <a:blip r:embed="rId16"/>
                    <a:stretch>
                      <a:fillRect/>
                    </a:stretch>
                  </pic:blipFill>
                  <pic:spPr>
                    <a:xfrm>
                      <a:off x="0" y="0"/>
                      <a:ext cx="5486400" cy="50263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6395047, E 714274 i SWEREF 99 TM.</w:t>
      </w:r>
    </w:p>
    <w:p>
      <w:r>
        <w:rPr>
          <w:b/>
        </w:rPr>
        <w:t>Almlav (EN)</w:t>
      </w:r>
      <w:r>
        <w:t xml:space="preserve"> är en starkt hotad art som främst förekommer i södra och mellersta Sverige men även har några enstaka förekomster upp till Åsele Lappmark. Växer på gamla ädellövträd (till mer än 80% på ask och alm) eller i norra Sverige på sydvända klippväggar av dolomit eller kalksten. Almlav har tillsammans med lunglav (NT) lyfts fram som en av de mest användbara indikatorerna på skyddsvärd ädellövskog. Den visar på såväl hela biotoper som enskilda träd med höga naturvärden. Almlav är typisk art för </w:t>
      </w:r>
      <w:r>
        <w:rPr>
          <w:i/>
        </w:rPr>
        <w:t>9020 Nordlig ädellövskog, 9180 Ädellövskog i branter, 9190 Näringsfattig ekskog, 9070 Trädklädd betesmark</w:t>
      </w:r>
      <w:r>
        <w:t xml:space="preserve"> och </w:t>
      </w:r>
      <w:r>
        <w:rPr>
          <w:i/>
        </w:rPr>
        <w:t>6530 Lövängar</w:t>
      </w:r>
      <w:r>
        <w:t xml:space="preserve"> (SLU Artdatabanken, 2026; Nitare &amp; Skogsstyrelsen, 2019).</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Klosterlav (VU)</w:t>
      </w:r>
      <w:r>
        <w:t xml:space="preserve"> växer på grov bark på stammar av framför allt ädellövträd som ask, bok, alm, lönn och lind, men fynd finns även på fläder och knäckepil. Klosterlaven finns både i sluten skog och i halvöppna till öppna miljöer, bl.a. på hamlade träd (solitära eller i löväng), i blandad ädellövskog och i ren bokskog. Arten förekommer vanligen vid basen av träden, men kan växa på upp till två meters höjd. På ljusa lokaler växer laven i sprickor på trädens skuggsida. Lokalerna har lång kontinuitet på gamla träd, hög luftfuktighet och andra rödlistade lavar förekommer ofta tillsammans med klosterlaven. Klosterlaven gynnas av att man sparar skog med lång kontinuitet, gamla vårdträd och lövängar. Alltför snabbt upptagande av hävden av lövängar kan innebära att laven skadas av den snabba förändringen till ett ljusare och torrare lokalklimat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Mörk kraterlav (VU)</w:t>
      </w:r>
      <w:r>
        <w:t xml:space="preserve"> växer på grov bark av ädellövträd som bok, alm, ask, lönn och ek. Miljöerna varierar från slutna bokskogar och andra ädellövskogar till öppna lövängar, alléer och parkmiljöer. Arten påträffas ofta vid basen av träden, men den förekommer inte sällan även en bit upp på stammen. Miljöerna har lång kontinuitet på gamla träd och tillsammans med mörk kraterlav förekommer ofta andra rödlistade lavar (SLU Artdatabanken, 2024).</w:t>
      </w:r>
    </w:p>
    <w:p>
      <w:r>
        <w:rPr>
          <w:b/>
        </w:rPr>
        <w:t>Rosa lundlav (VU)</w:t>
      </w:r>
      <w:r>
        <w:t xml:space="preserve"> växer på ädellövträd i gamla skogar med hög och jämn luftfuktighet och signalerar skyddsvärda ädellövskogar med lång kontinuitet. Minskningstakten uppgår till 30 (20–50) % inom 50 år och överstiger gränsvärdet för Sårbar (VU). Lokaler med rika förekomster bör skyddas. Rosa lundlav är typisk art för </w:t>
      </w:r>
      <w:r>
        <w:rPr>
          <w:i/>
        </w:rPr>
        <w:t xml:space="preserve">9020 Nordlig ädellövskog, 9110 Näringsfattig bokskog, 9130 Näringsrik bokskog </w:t>
      </w:r>
      <w:r>
        <w:t>och</w:t>
      </w:r>
      <w:r>
        <w:rPr>
          <w:i/>
        </w:rPr>
        <w:t xml:space="preserve"> 9180 Ädellövskog i branter</w:t>
      </w:r>
      <w:r>
        <w:t xml:space="preserve"> (SLU Artdatabanken, 2024; Nitare &amp; Skogsstyrelsen, 2019).</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Ädellav (VU) </w:t>
      </w:r>
      <w:r>
        <w:t xml:space="preserve">förekommer i kulturmiljöer som lövängar och ädellövträdsdungar på inägomark, skogsmiljöer som ädellövskog samt blandskogar med asp och gran. Luftfuktigheten är alltid hög. Arten är placerad högst upp i Skogsstyrelsens värdepyramid för bedömning av skog med höga naturvärden och lokaler bör skyddas mot slutavverkning och dikning. Ädellav är typisk art för </w:t>
      </w:r>
      <w:r>
        <w:rPr>
          <w:i/>
        </w:rPr>
        <w:t xml:space="preserve">9020 Nordlig ädellövskog, 9070 Trädklädd betesmark </w:t>
      </w:r>
      <w:r>
        <w:t xml:space="preserve">och </w:t>
      </w:r>
      <w:r>
        <w:rPr>
          <w:i/>
        </w:rPr>
        <w:t>9180 Ädellövskog i branter</w:t>
      </w:r>
      <w:r>
        <w:t xml:space="preserve"> (SLU Artdatabanken, 2026; Nitare &amp; Skogsstyrelsen, 2019).</w:t>
      </w:r>
    </w:p>
    <w:p>
      <w:pPr>
        <w:pStyle w:val="Heading1"/>
      </w:pPr>
      <w:r>
        <w:t>Fridlysta arter</w:t>
      </w:r>
    </w:p>
    <w:p>
      <w:r>
        <w:t>Följande fridlysta arter har sina livsmiljöer och växtplatser i den avverkningsanmälda skogen: duvhök (NT, §4), grönsångare (NT, §4), mindre hackspett (NT, §4), spillkråka (NT, §4), nästrot (S, §8), skogsknipprot (S, §8), tvåblad (S, §8), halsbandsflugsnappare (§4), skogsduva (§4), sankt pers nycklar (§8), blåsippa (§9) och gullviva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Skogsknipprot (§8)</w:t>
      </w:r>
      <w:r>
        <w:t xml:space="preserve"> är fridlyst enligt 8§ artskyddsförordningen och typisk art för </w:t>
      </w:r>
      <w:r>
        <w:rPr>
          <w:i/>
        </w:rPr>
        <w:t>9050 Näringsrik granskog</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