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33289-2026 i Gotlands kommun</w:t>
      </w:r>
    </w:p>
    <w:p>
      <w:r>
        <w:t>Detta klagomål behandlar höga naturvärden i avverkningsanmälan A 33289-2026 i Gotlands kommun som inkom 2026-08-12 och omfattar 3,8 ha.</w:t>
      </w:r>
    </w:p>
    <w:p>
      <w:pPr>
        <w:pStyle w:val="Caption"/>
      </w:pPr>
      <w:r>
        <w:drawing>
          <wp:inline xmlns:a="http://schemas.openxmlformats.org/drawingml/2006/main" xmlns:pic="http://schemas.openxmlformats.org/drawingml/2006/picture">
            <wp:extent cx="5486400" cy="5295979"/>
            <wp:docPr id="1" name="Picture 1"/>
            <wp:cNvGraphicFramePr>
              <a:graphicFrameLocks noChangeAspect="1"/>
            </wp:cNvGraphicFramePr>
            <a:graphic>
              <a:graphicData uri="http://schemas.openxmlformats.org/drawingml/2006/picture">
                <pic:pic>
                  <pic:nvPicPr>
                    <pic:cNvPr id="0" name="A 33289-2026 karta.png"/>
                    <pic:cNvPicPr/>
                  </pic:nvPicPr>
                  <pic:blipFill>
                    <a:blip r:embed="rId16"/>
                    <a:stretch>
                      <a:fillRect/>
                    </a:stretch>
                  </pic:blipFill>
                  <pic:spPr>
                    <a:xfrm>
                      <a:off x="0" y="0"/>
                      <a:ext cx="5486400" cy="5295979"/>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6379244, E 721200 i SWEREF 99 TM.</w:t>
      </w:r>
    </w:p>
    <w:p>
      <w:r>
        <w:t>I och inom 17 meter från avverkningsanmälan finns fynd av 33 naturvårdsarter, varav 16 är rödlistade, 7 är fridlysta, 7 är typiska (T) och 12 är signalarter (S): ask (EN), bullspindling (VU), gulsträngad fagerspindling (VU), trollspindling (VU), axveronika (NT), backtimjan (NT), blå slemspindling (NT, T), fjällig taggsvamp s.str. (NT), flattoppad klubbsvamp (NT), jordtistel (NT), majviva (NT), odörspindling (NT), solvända (NT), svinrot (NT), säfferot (NT), sårläka (NT, T), anisspindling (S), axag (S), blåmossa (S, T), kalktallört (S), kantarellvaxing (S), nästrot (S, §8), olivspindling (S), purpurknipprot (S, §8), skogsknipprot (S, T, §8), strimspindling (S), strävlosta (S, T), svavelriska (S), ormbär (T), spillkråka (T, §4), brudsporre (§8), fläcknycklar (§8) och kärrknipprot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Bullspindling (VU)</w:t>
      </w:r>
      <w:r>
        <w:t xml:space="preserve"> är en kräsen och mycket bra signalart för skyddsvärda äldre granskogar på kalkrik mark. Den är placerad högst upp i Skogsstyrelsens värdepyramid för bedömning av skog med höga naturvärden och skogsbruk, främst kalavverkning utgör ett stort hot mot arten. Artens minskningstakt uppgår till 30 % inom 50 år och överstiger gränsvärdet för Sårbar (VU) (SLU Artdatabanken, 2024; Nitare &amp; Skogsstyrelsen, 2019).</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Trollspindling (VU)</w:t>
      </w:r>
      <w:r>
        <w:t xml:space="preserve"> är en ytterst sällsynt ädelspindling som bildar mykorrhiza med tall och gran i ljusöppen och luckig kalkbarrskog. Främsta hotet är rationellt skogsbruk med slutavverkning eller andra avverkningar. Skydda kända lokaler formellt och om svampen påträffas på nya lokaler bör även dessa skyddas (SLU Artdatabanken, 2026).</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28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33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