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klagomål behandlar höga naturvärden i avverkningsanmälan A 45536-2025 i Gotlands kommun som inkom 2025-09-22 och omfattar 10,4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6373990, E 719213 i SWEREF 99 TM.</w:t>
      </w:r>
    </w:p>
    <w:p>
      <w:r>
        <w:t>I och inom 9 meter från avverkningsanmälan finns fynd av 29 naturvårdsarter, varav 21 är rödlistade, 3 är fridlysta, 7 är typiska (T) och 6 är signalarter (S): slät taggsvamp (EN), sotbandad spindling (EN), granrotspindling (VU), gulsträngad fagerspindling (VU), läderdoftande fingersvamp (VU), narrspindling (VU), stor granspindling (VU), svartgrön spindling (VU), violettfläckig spindling (VU), violettrandad spindling (VU), backtimjan (NT), blå slemspindling (NT, T), fjällig taggsvamp s.str. (NT), kattfotslav (NT, T), kryddspindling (NT, T), mindre tåtelsmygare (NT), odörspindling (NT), skarp dropptaggsvamp (NT), sårläka (NT, T), tjockfotad fingersvamp (NT), grynspindling (DD), anisspindling (S), blåmossa (S, T), fransig jordstjärna (S), mindre märgborre (S, T), nästrot (S, §8), olivspindling (S),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Grynspindling (DD)</w:t>
      </w:r>
      <w:r>
        <w:t xml:space="preserve"> bildar mykorrhiza med tall, huvudsakligen i mossig barrskog. Uppmärksammad art men fyndrapporterna är fortfarande få. Ett tiotal lokaler från Östergötland i söder till Jämtland i norr är kända. Arten påverkas negativt av brist på kontinuitetsskog. Faktaunderlaget bedöms vara otillräckligt för att avgöra vilken av de olika rödlistningskategorierna som är mest trolig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