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40 naturvårdsarter, varav 28 är rödlistade, 6 är fridlysta, 8 är typiska (T) och 9 är signalarter (S): blårödling (VU), duvspindling (VU), fågelträcksspindling (VU), garderönn (VU, §7), granrotspindling (VU), gulsträngad fagerspindling (VU), läderdoftande fingersvamp (VU), svartgrön spindling (VU), violettfläckig spindling (VU), vit taggsvamp (VU), backtimjan (NT), barrviolspindling (NT), blå slemspindling (NT, T), denisespindling (NT), duvhök (NT, §4), dårgräsfjäril (NT, §4a), enkelbeckasin (NT, §4), flattoppad klubbsvamp (NT), jungfrulin (NT), kattfotslav (NT, T), kryddspindling (NT, T), odörspindling (NT), reliktbock (NT, T), sandkremla (NT), solvända (NT), vippärt (NT, T), äggspindling (NT), grynspindling (DD), anisspindling (S), bronshjon (S, T), fransig jordstjärna (S), olivspindling (S), rödgul trumpetsvamp (S), svavelriska (S), thomsons trägnagare (S), toppvaxing (S), vågbandad barkbock (S), getrams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reliktbock (NT, T), vippärt (NT, T), bronshjon (S, T), getrams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