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61697-2023 i Gotlands kommun</w:t>
      </w:r>
    </w:p>
    <w:p>
      <w:r>
        <w:t>Denna tillsynsbegäran behandlar höga naturvärden i avverkningsanmälan A 61697-2023 i Gotlands kommun som inkom 2023-12-05 och omfattar 8,7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6411743, E 736754 i SWEREF 99 TM.</w:t>
      </w:r>
    </w:p>
    <w:p>
      <w:r>
        <w:t>I och inom 13 meter från avverkningsanmälan finns fynd av 17 naturvårdsarter, varav 13 är rödlistade, 3 är fridlysta, 3 är typiska (T) och 3 är signalarter (S): tallkejsarspindling (EN), bullspindling (VU), duvspindling (VU), granrotspindling (VU), gulsträngad fagerspindling (VU), läderdoftande fingersvamp (VU), ryl (VU, T), svartgrön spindling (VU), violettrandad spindling (VU), denisespindling (NT), odörspindling (NT), röd skogslilja (NT, §8), säfferot (NT), anisspindling (S), murgröna (S, T), nästrot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Tallkejsarspindling (EN)</w:t>
      </w:r>
      <w:r>
        <w:t xml:space="preserve"> är en starkt hotad art som bildar mykorrhiza med tall, sällsynt möjligen även med gran, i kalkbarrskog. Arten är mycket sällsynt i Norden och bara känd från enstaka platser på Gotland, norra Öland samt någon enstaka kustnära lokal i nordöstra Uppland. Den är placerad högst upp i Skogsstyrelsens värdepyramid för bedömning av skog med höga naturvärden och hotas av skogsbruk med slutavverkningar eller andra avverkningar. Samtliga lokaler och växtplatser bör få ett formellt skydd (SLU Artdatabanken, 2026;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