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66091-2021 i Gotlands kommun</w:t>
      </w:r>
    </w:p>
    <w:p>
      <w:r>
        <w:t>Detta dokument behandlar höga naturvärden i avverkningsanmälan A 66091-2021 i Gotlands kommun. Denna avverkningsanmälan inkom 2021-11-17 00:00:00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axveronika (NT), solvända (NT), säfferot (NT), pärluggla (§4) och salepsrot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66091-2021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6369275, E 728004 i SWEREF 99 TM.</w:t>
      </w:r>
    </w:p>
    <w:p>
      <w:pPr>
        <w:pStyle w:val="Heading1"/>
      </w:pPr>
      <w:r>
        <w:t>Fridlysta arter</w:t>
      </w:r>
    </w:p>
    <w:p>
      <w:r>
        <w:t>Följande fridlysta arter har sina livsmiljöer och växtplatser i den avverkningsanmälda skogen: pärluggla (§4) och salepsrot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Pärluggla (§4)</w:t>
      </w:r>
      <w:r>
        <w:t xml:space="preserve">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Pärlugglan är typisk art för Västlig taiga (9010) och omfattas av fågeldirektivets bilaga 1. Den har minskat kraftigt under de senaste åren och enligt artdatabankens preliminära bedömning kommer den att bli rödlistad som nära hotad (NT) i nästa rödlista som kommer 2026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Pärluggla – ekologi samt krav på livsmiljön</w:t>
      </w:r>
    </w:p>
    <w:p>
      <w:r>
        <w:t>Pärluggla (§4)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(SLU Artdatabanken, 2024).</w:t>
      </w:r>
    </w:p>
    <w:p>
      <w:r>
        <w:t>Hemområdet är i storleksordningen 200–500 hektar, men storleken varierar kraftigt beroende på hur mycket föda det finns. Under dåliga gnagarår kan pärlugglan jaga upp till 4 km från boet medan den under bra år ofta håller sig inom 1 km. Pärluggla är typisk art för Västlig taiga (EU-kod 9010) och omfattas av fågeldirektivets bilaga 1. Den har minskat kraftigt under de senaste åren och enligt artdatabankens preliminära bedömning kommer den att bli rödlistad som nära hotad (NT) i nästa rödlista som kommer 2026 (SLU Artdatabanken, 2024).</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2024.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