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60665-2021 i Gotlands kommun</w:t>
      </w:r>
    </w:p>
    <w:p>
      <w:r>
        <w:t>Denna tillsynsbegäran behandlar höga naturvärden i avverkningsanmälan A 60665-2021 i Gotlands kommun som inkom 2021-10-27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89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66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89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6394189, E 720675 i SWEREF 99 TM.</w:t>
      </w:r>
    </w:p>
    <w:p>
      <w:r>
        <w:t>I avverkningsanmälan finns fynd av 2 naturvårdsarter, varav 2 är rödlistade och 2 är typiska (T): skogskorn (VU, T) och ädellav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Skogskorn (VU) </w:t>
      </w:r>
      <w:r>
        <w:t xml:space="preserve">är ett mycket sällsynt och värmeälskande lundgräs som växer på kalkhaltig mark i halvöppna ödellövskogar och extremrika kalkbarrskogar. Arten är placerad högst upp i Skogsstyrelsens värdepyramid för bedömning av skog med höga naturvärden. Dess växtplatser bör ej betas eller slutavverkas. Skogskorn är typisk art för </w:t>
      </w:r>
      <w:r>
        <w:rPr>
          <w:i/>
        </w:rPr>
        <w:t>9020 Nordlig ädellövskog</w:t>
      </w:r>
      <w:r>
        <w:t xml:space="preserve"> (SLU Artdatabanken, 2024; Nitare &amp; Skogsstyrelsen, 2019).</w:t>
      </w:r>
    </w:p>
    <w:p>
      <w:r>
        <w:rPr>
          <w:b/>
        </w:rPr>
        <w:t xml:space="preserve">Ädellav (VU) </w:t>
      </w:r>
      <w:r>
        <w:t xml:space="preserve">förekommer i kulturmiljöer som lövängar och ädellövträdsdungar på inägomark, skogsmiljöer som ädellövskog samt blandskogar med asp och gran. Luftfuktigheten är alltid hög. Arten är placerad högst upp i Skogsstyrelsens värdepyramid för bedömning av skog med höga naturvärden och lokaler bör skyddas mot slutavverkning och dikning. Ädellav är typisk art för </w:t>
      </w:r>
      <w:r>
        <w:rPr>
          <w:i/>
        </w:rPr>
        <w:t xml:space="preserve">9020 Nordlig ädellövskog, 9070 Trädklädd betesmark </w:t>
      </w:r>
      <w:r>
        <w:t xml:space="preserve">och </w:t>
      </w:r>
      <w:r>
        <w:rPr>
          <w:i/>
        </w:rPr>
        <w:t>9180 Ädellövskog i branter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