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24309-2025 i Gotlands kommun</w:t>
      </w:r>
    </w:p>
    <w:p>
      <w:r>
        <w:t>Detta dokument behandlar höga naturvärden i avverkningsanmälan A 24309-2025 i Gotlands kommun. Denna avverkningsanmälan inkom 2025-05-20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grönfink (EN, §4), garderönn (VU, §7), dårgräsfjäril (NT, §4a), spillkråka (NT, §4), svinrot (NT), grönpyrola (S), purpurknipprot (S, §8), skogsknipprot (S, §8), strävlosta (S), tvåblad (S, §8), vit skogslilja (S, §8), halsbandsflugsnappare (§4), nattviol (§8)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24309-2025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6364825, E 707819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pPr>
        <w:pStyle w:val="Heading1"/>
      </w:pPr>
      <w:r>
        <w:t>Fridlysta arter</w:t>
      </w:r>
    </w:p>
    <w:p>
      <w:r>
        <w:t>Följande fridlysta arter har sina livsmiljöer och växtplatser i den avverkningsanmälda skogen: grönfink (EN, §4), garderönn (VU, §7), dårgräsfjäril (NT, §4a), spillkråka (NT, §4), purpurknipprot (S, §8), skogsknipprot (S, §8), tvåblad (S, §8), vit skogslilja (S, §8), halsbandsflugsnappare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