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1702-2023 i Gotlands kommun</w:t>
      </w:r>
    </w:p>
    <w:p>
      <w:r>
        <w:t>Detta dokument behandlar höga naturvärden i avverkningsanmälan A 1702-2023 i Gotlands kommun. Denna avverkningsanmälan inkom 2023-01-12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18 naturvårdsarter hittats: granrotsspindling (VU), svartgrön spindling (VU), violettfläckig spindling (VU), jordtistel (NT), odörspindling (NT), svinrot (NT), anisspindling (S), blå slemspindling (S), fransig jordstjärna (S), hasselticka (S), mindre märgborre (S), murgröna (S), olivspindling (S), rödgul trumpetsvamp (S), svavelriska (S), alvarstånds (§7), sankt pers nycklar (§8) och blåsippa (§9).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14502"/>
            <wp:docPr id="1" name="Picture 1"/>
            <wp:cNvGraphicFramePr>
              <a:graphicFrameLocks noChangeAspect="1"/>
            </wp:cNvGraphicFramePr>
            <a:graphic>
              <a:graphicData uri="http://schemas.openxmlformats.org/drawingml/2006/picture">
                <pic:pic>
                  <pic:nvPicPr>
                    <pic:cNvPr id="0" name="A 1702-2023 karta.png"/>
                    <pic:cNvPicPr/>
                  </pic:nvPicPr>
                  <pic:blipFill>
                    <a:blip r:embed="rId16"/>
                    <a:stretch>
                      <a:fillRect/>
                    </a:stretch>
                  </pic:blipFill>
                  <pic:spPr>
                    <a:xfrm>
                      <a:off x="0" y="0"/>
                      <a:ext cx="5486400" cy="35145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6360515, E 705133 i SWEREF 99 TM.</w:t>
      </w:r>
    </w:p>
    <w:p>
      <w:r>
        <w:rPr>
          <w:b/>
        </w:rPr>
        <w:t xml:space="preserve">Granrotsspindling (VU) </w:t>
      </w:r>
      <w:r>
        <w:t>bildar mykorrhiza med gran. Växer i djup barrförna, gärna i gamla myrstackar, i medelålders till äldre ängsgranskog på kalkrik mark.</w:t>
      </w:r>
      <w:r>
        <w:rPr>
          <w:b/>
        </w:rPr>
        <w:t xml:space="preserve"> </w:t>
      </w:r>
      <w:r>
        <w:t>Minskningstakten uppgår till 30 % inom 50 år och överstiger gränsvärdet för Sårbar (VU) enligt A-kriteriet. (A2c+3c+4c). Arten missgynnas av avverkning och markberedning. Generellt bör lokaler som är särskilt rika på förekomster av sällsynta svampar säkerställas och lämnas för fri utveckling (SLU Artdatabanken, 2024).</w:t>
      </w:r>
    </w:p>
    <w:p>
      <w:r>
        <w:rPr>
          <w:b/>
        </w:rPr>
        <w:t>Hasselticka</w:t>
      </w:r>
      <w:r>
        <w:t xml:space="preserve"> är en bra signalart för lundar med höga naturvärden. På lokalerna förekommer ofta många andra ovanliga och rödlistade arter. Växtplatserna har normalt långvarig lövkontinuitet av hassel (ibland al). Den kräver dessutom att det successivt bildas, och i området kontinuerligt förekommit, en viss mängd döda stammar. Arten tycks saknas i sekundära och i sen tid uppkomna al- och hasselmarker om dessa inte ligger i direkt anslutning till äldre förekomster (Nitare &amp; Skogsstyrelsen, 2019).</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Odörspindling (NT)</w:t>
      </w:r>
      <w:r>
        <w:t xml:space="preserve"> bildar mykorrhiza med gran och tall i örtrik kalkbarrskog. Den uppträder huvudsakligen i äldre barrskogar så kallade ”bondeskogar” med en lång trädkontinuitet. Minskningstakten uppgår till 15 % inom 50 år och bedöms vara nära gränsvärdet för Sårbar (VU). (A2c+3c+4c). Virkesrika, äldre barrskogar med hög bonitet, på bättre jordar är en bristvara i befintliga, skyddade områden i Sverige och fler örtrika barrskogar med trädkontinuitet måste skyddas i större utsträckning än vad som tidigare gjorts. Områden med odörspindling bör inte gallras eller plockhuggas om inte huggningen efterföljs av skogsbete (SLU Artdatabanken, 2024).</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Svartgrön spindling (VU)</w:t>
      </w:r>
      <w:r>
        <w:t>, som bildar mykorrhiza med gran och tall i ängsgranskog och barrblandskog på kalkrik mark, har i Sverige sin huvudsakliga utbredning på Gotland. Arten är placerad högst upp i Skogsstyrelsens värdepyramid för bedömning av skog med höga naturvärden och den missgynnas av intensivt skogsbruk och kalavverkningar. Svartgrön spindling är globalt rödlistad som nära hotad (NT) vilket innebär att Sverige har ett internationellt ansvar för arten (SLU Artdatabanken, 2024; Nitare &amp; Skogsstyrelsen, 2019; IUCN, 2019).</w:t>
      </w:r>
    </w:p>
    <w:p>
      <w:r>
        <w:rPr>
          <w:b/>
        </w:rPr>
        <w:t>Violettfläckig spindling (VU)</w:t>
      </w:r>
      <w:r>
        <w:t xml:space="preserve"> bildar mykorrhiza med gran och tall i äldre kalkbarrskogar på torr, örtrik mark. Minskningstakten uppgår till 30 % inom 50 år och överstiger gränsvärdet för Sårbar (VU). Artens ekologiska krav med fynd enbart i äldre, örtrika kalkbarrskogar med kontinuitet, miljöer som idag ofta är starkt hotade av slutavverkningar, gör den mycket sårbar. Alla kända lokaler har ett högt skyddsvärde och kalkbarrskogar med höga naturvärden bör få områdesskydd med individuellt anpassade skötselråd (SLU Artdatabanken, 2024).</w:t>
      </w:r>
    </w:p>
    <w:p>
      <w:pPr>
        <w:pStyle w:val="Heading1"/>
      </w:pPr>
      <w:r>
        <w:t>Fridlysta arter</w:t>
      </w:r>
    </w:p>
    <w:p>
      <w:r>
        <w:t>Följande fridlysta arter har sina livsmiljöer och växtplatser i den avverkningsanmälda skogen: alvarstånds (§7), sankt pers nycklar (§8) och blåsippa (§9).</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