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45536-2025 i Gotlands kommun</w:t>
      </w:r>
    </w:p>
    <w:p>
      <w:r>
        <w:t>Detta dokument behandlar höga naturvärden i avverkningsanmälan A 45536-2025 i Gotlands kommun. Denna avverkningsanmälan inkom 2025-09-22 00:00:00 och omfattar 10,4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27 naturvårdsarter hittats: slät taggsvamp (EN), granrotsspindling (VU), gulsträngad fagerspindling (VU), läderdoftande fingersvamp (VU), narrspindling (VU), sotbandad spindling (VU), stor granspindling (VU), svartgrön spindling (VU), violettfläckig spindling (VU), violettrandad spindling (VU), backtimjan (NT), odörspindling (NT), spillkråka (NT, §4), grynspindling (DD), anisspindling (S), blå slemspindling (S), blåmossa (S), fjällig taggsvamp s.str. (S), fransig jordstjärna (S), kryddspindling (S), mindre märgborre (S), nästrot (S, §8), olivspindling (S), skarp dropptaggsvamp (S), sårläka (S), tjockfotad fingersvamp (S) och huggorm (§6).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8627"/>
            <wp:docPr id="1" name="Picture 1"/>
            <wp:cNvGraphicFramePr>
              <a:graphicFrameLocks noChangeAspect="1"/>
            </wp:cNvGraphicFramePr>
            <a:graphic>
              <a:graphicData uri="http://schemas.openxmlformats.org/drawingml/2006/picture">
                <pic:pic>
                  <pic:nvPicPr>
                    <pic:cNvPr id="0" name="A 45536-2025 karta.png"/>
                    <pic:cNvPicPr/>
                  </pic:nvPicPr>
                  <pic:blipFill>
                    <a:blip r:embed="rId16"/>
                    <a:stretch>
                      <a:fillRect/>
                    </a:stretch>
                  </pic:blipFill>
                  <pic:spPr>
                    <a:xfrm>
                      <a:off x="0" y="0"/>
                      <a:ext cx="5486400" cy="51486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6373990, E 719213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 xml:space="preserve">Granrotsspindling (VU) </w:t>
      </w:r>
      <w:r>
        <w:t>bildar mykorrhiza med gran. Växer i djup barrförna, gärna i gamla myrstackar, i medelålders till äldre ängsgranskog på kalkrik mark.</w:t>
      </w:r>
      <w:r>
        <w:rPr>
          <w:b/>
        </w:rPr>
        <w:t xml:space="preserve"> </w:t>
      </w:r>
      <w:r>
        <w:t>Minskningstakten uppgår till 30 % inom 50 år och överstiger gränsvärdet för Sårbar (VU) enligt A-kriteriet. (A2c+3c+4c). Arten missgynnas av avverkning och markberedning. Generellt bör lokaler som är särskilt rika på förekomster av sällsynta svampar säkerställas och lämnas för fri utveckling (SLU Artdatabanken, 2024).</w:t>
      </w:r>
    </w:p>
    <w:p>
      <w:r>
        <w:rPr>
          <w:b/>
        </w:rPr>
        <w:t>Gulsträngad fagerspindling (VU)</w:t>
      </w:r>
      <w:r>
        <w:t>, som bildar mykorrhiza med tall och gran i luckig kalkbarrskog, har sin huvudsakliga utbredning på Gotland samt enstaka fynd på norra Öland. Arten är placerad högst upp i Skogsstyrelsens värdepyramid för bedömning av skog med höga naturvärden och hotas av slutavverkningar av äldre kontinuitetsbarrskog. Lokaler med arten måste skyddas från avverkning och kalkbrytning. Gulsträngad fagerspindling är globalt rödlistad som sårbar (VU) vilket innebär att Sverige har ett internationellt ansvar för arten (SLU Artdatabanken, 2024; Nitare &amp; Skogsstyrelsen, 2019; IUCN, 2019).</w:t>
      </w:r>
    </w:p>
    <w:p>
      <w:r>
        <w:rPr>
          <w:b/>
        </w:rPr>
        <w:t xml:space="preserve">Läderdoftande fingersvamp (VU) </w:t>
      </w:r>
      <w:r>
        <w:t>bildar mykorrhiza med gran i örtrik äldre barrskog, ofta på kalkrik mark. Den har en speciell doft som kan påminna om nytt skoläder (skoaffär), därav det svenska namnet. Den totala populationen i landet bedöms ändå ha minskat starkt och fortsatt kommer att minska då arten är knuten till en bördig äldre kalkgranskogsmiljö som successivt avverkas och där få områden alltjämt är formellt skyddade. All form av hårdhänt skogsavverkning på eller i närheten av växtplatsen missgynnar arten. Artens huvudsakliga koppling till produktiva äldre granskogar med hög bonitet gör den särskilt utsatt för slutavverkning. Samtliga lokaler bör undantas från rationellt skogsbruk och få ett områdesskydd (SLU Artdatabanken, 2024;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Narrspindling (VU)</w:t>
      </w:r>
      <w:r>
        <w:t xml:space="preserve"> bildar mykorrhiza med tall på kalkrik mark i luckig kalktallskog. Den är placerad högst upp i Skogsstyrelsens värdepyramid för bedömning av skog med höga naturvärden och är i Norden bara känd från ett fåtal lokaler på Gotland. Arten är mycket sårbar genom sin fåtaliga förekomst och bedöms ha minskat och fortsätter att minska, huvudsakligen p.g.a. slutavverkningar av äldre barrskog (SLU Artdatabanken, 2024; Nitare &amp; Skogsstyrelsen, 2019).</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 xml:space="preserve">Slät taggsvamp (EN) </w:t>
      </w:r>
      <w:r>
        <w:t>är en starkt hotad ”toppart” knuten till gammal tall på kalkrik mark. Den ingår i ett åtgärdsprogram för hotade arter (ÅGP) och är placerad högst upp i Skogsstyrelsens värdepyramid för bedömning av skog med höga naturvärden. Den totala populationen i landet är liten och bedöms ha minskat kraftigt, huvudsakligen p.g.a. slutavverkning av äldre kalkbarrskogar. Slät taggsvamp är globalt rödlistad som nära hotad (NT) vilket innebär att Sverige har ett internationellt ansvar för arten (SLU Artdatabanken, 2024; Nitare &amp; Skogsstyrelsen, 2019; IUCN, 2019).</w:t>
      </w:r>
    </w:p>
    <w:p>
      <w:r>
        <w:rPr>
          <w:b/>
        </w:rPr>
        <w:t>Sotbandad spindling (VU)</w:t>
      </w:r>
      <w:r>
        <w:t xml:space="preserve"> påträffas i äldre barrskog, bl.a. ängsgranskog på torr och kalkrik mark och bildar mykorrhiza med gran, men troligen även med andra träd. Den är placerad högst upp i Skogsstyrelsens värdepyramid för bedömning av skog med höga naturvärden och tål inte kalavverkning eller andra mer radikala ingrepp i växtplatsernas miljö. Kända växtplatser bör tills vidare undantas från skogsbruk (SLU Artdatabanken, 2024; Nitare &amp; Skogsstyrelsen, 2019).</w:t>
      </w:r>
    </w:p>
    <w:p>
      <w:r>
        <w:rPr>
          <w:b/>
        </w:rPr>
        <w:t>Svartgrön spindling (VU)</w:t>
      </w:r>
      <w:r>
        <w:t>, som bildar mykorrhiza med gran och tall i ängsgranskog och barrblandskog på kalkrik mark, har i Sverige sin huvudsakliga utbredning på Gotland. Arten är placerad högst upp i Skogsstyrelsens värdepyramid för bedömning av skog med höga naturvärden och den missgynnas av intensivt skogsbruk och kalavverkningar. Svartgrön spindling är globalt rödlistad som nära hotad (NT) vilket innebär att Sverige har ett internationellt ansvar för arten (SLU Artdatabanken, 2024; Nitare &amp; Skogsstyrelsen, 2019; IUCN, 2019).</w:t>
      </w:r>
    </w:p>
    <w:p>
      <w:r>
        <w:rPr>
          <w:b/>
        </w:rPr>
        <w:t>Sårläka</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Sårläka är värdväxt för den rödlistade fjärilen sårläkeplattmal (NT) (SLU Artdatabanken, 2024; Nitare &amp; Skogsstyrelsen, 2019).</w:t>
      </w:r>
    </w:p>
    <w:p>
      <w:r>
        <w:rPr>
          <w:b/>
        </w:rPr>
        <w:t xml:space="preserve">Tjockfotad fingersvamp </w:t>
      </w:r>
      <w:r>
        <w:t>bildar mykorrhiza med bok och ek på kalkrik mark i huvudsakligen äldre skog men även med gran i örtrik äldre barrskog. Slutavverkning, gödsling eller exploatering måste undvikas (SLU Artdatabanken, 2024).</w:t>
      </w:r>
    </w:p>
    <w:p>
      <w:r>
        <w:rPr>
          <w:b/>
        </w:rPr>
        <w:t>Violettfläckig spindling (VU)</w:t>
      </w:r>
      <w:r>
        <w:t xml:space="preserve"> bildar mykorrhiza med gran och tall i äldre kalkbarrskogar på torr, örtrik mark. Minskningstakten uppgår till 30 % inom 50 år och överstiger gränsvärdet för Sårbar (VU). Artens ekologiska krav med fynd enbart i äldre, örtrika kalkbarrskogar med kontinuitet, miljöer som idag ofta är starkt hotade av slutavverkningar, gör den mycket sårbar. Alla kända lokaler har ett högt skyddsvärde och kalkbarrskogar med höga naturvärden bör få områdesskydd med individuellt anpassade skötselråd (SLU Artdatabanken, 2024).</w:t>
      </w:r>
    </w:p>
    <w:p>
      <w:r>
        <w:rPr>
          <w:b/>
        </w:rPr>
        <w:t>Violettrandad spindling (VU)</w:t>
      </w:r>
      <w:r>
        <w:t xml:space="preserve"> är en sällsynt barrskogsart som bildar mykorrhiza med tall, i kalktallskog och lavtallskog på kalkrik mark. Intensivt skogsbruk med kalavverkning, markberedning etc. minskar artens möjligheter att överleva och dess minskningstakt uppgår till 30 % inom 50 år och överstiger gränsvärdet för Sårbar (VU). Violettrandad spindling är placerad högst upp i Skogsstyrelsens värdepyramid för bedömning av skog med höga naturvärden och på artens kända växtplatser bör avverkning undvikas (SLU Artdatabanken, 2024; Nitare &amp; Skogsstyrelsen, 2019).</w:t>
      </w:r>
    </w:p>
    <w:p>
      <w:pPr>
        <w:pStyle w:val="Heading1"/>
      </w:pPr>
      <w:r>
        <w:t>Fridlysta arter</w:t>
      </w:r>
    </w:p>
    <w:p>
      <w:r>
        <w:t>Följande fridlysta arter har sina livsmiljöer och växtplatser i den avverkningsanmälda skogen: spillkråka (NT, §4), nästrot (S, §8) och huggorm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26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27 naturvårdsarter varav 14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