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1769-2022 i Gotlands kommun</w:t>
      </w:r>
    </w:p>
    <w:p>
      <w:r>
        <w:t>Detta dokument behandlar höga naturvärden i avverkningsanmälan A 1769-2022 i Gotlands kommun. Denna avverkningsanmälan inkom 2022-01-13 och omfattar 31,3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loppstarr (NT), majviva (NT), ängsstarr (NT), flugblomster (S, §8), brudsporre (§8), Dactylorhiza incarnata subsp. incarnata (§8), grönvit nattviol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1769-2022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6411513, E 715331 i SWEREF 99 TM.</w:t>
      </w:r>
    </w:p>
    <w:p>
      <w:pPr>
        <w:pStyle w:val="Heading1"/>
      </w:pPr>
      <w:r>
        <w:t>Fridlysta arter</w:t>
      </w:r>
    </w:p>
    <w:p>
      <w:r>
        <w:t>Följande fridlysta arter har sina livsmiljöer och växtplatser i den avverkningsanmälda skogen: flugblomster (S, §8), brudsporre (§8), Dactylorhiza incarnata subsp. incarnata (§8), grönvit nattviol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