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35141-2022 i Gotlands kommun</w:t>
      </w:r>
    </w:p>
    <w:p>
      <w:r>
        <w:t>Detta dokument behandlar höga naturvärden i avverkningsanmälan A 35141-2022 i Gotlands kommun. Denna avverkningsanmälan inkom 2022-08-24 12:47:47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13 naturvårdsarter hittats: dvärgfjällskivling (VU), svartgrön spindling (VU), violettfläckig spindling (VU), bittermusseron (NT), flattoppad klubbsvamp (NT), odörspindling (NT), anisspindling (S), fransig jordstjärna (S), kambräken (S), olivspindling (S), rödgul trumpetsvamp (S), svavelriska (S) och vågbandad barkbock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2330"/>
            <wp:docPr id="1" name="Picture 1"/>
            <wp:cNvGraphicFramePr>
              <a:graphicFrameLocks noChangeAspect="1"/>
            </wp:cNvGraphicFramePr>
            <a:graphic>
              <a:graphicData uri="http://schemas.openxmlformats.org/drawingml/2006/picture">
                <pic:pic>
                  <pic:nvPicPr>
                    <pic:cNvPr id="0" name="A 35141-2022 karta.png"/>
                    <pic:cNvPicPr/>
                  </pic:nvPicPr>
                  <pic:blipFill>
                    <a:blip r:embed="rId16"/>
                    <a:stretch>
                      <a:fillRect/>
                    </a:stretch>
                  </pic:blipFill>
                  <pic:spPr>
                    <a:xfrm>
                      <a:off x="0" y="0"/>
                      <a:ext cx="5486400" cy="4012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6362477, E 723657 i SWEREF 99 TM.</w:t>
      </w:r>
    </w:p>
    <w:p>
      <w:r>
        <w:rPr>
          <w:b/>
        </w:rPr>
        <w:t>Bittermusseron (NT)</w:t>
      </w:r>
      <w:r>
        <w:t xml:space="preserve"> är en kalkgynnad och värmeälskande förnasvamp som påträffas i äldre kalkbarrskogar, gärna på relativt torr mark. Virkesrika, äldre barrskogar med hög bonitet, på bättre jordar är en bristvara i befintliga, skyddade områden i Sverige. Därför måste fler örtrika barrskogar, särskilt de med trädkontinuitet, skyddas i större utsträckning än vad som tidigare gjorts. Uttag av skog ska helst göras genom plockhuggning, blädning eller andra alternativa, skonsamma avverkningsformer (SLU Artdatabanken, 2024; Nitare &amp; Skogsstyrelsen, 2019).</w:t>
      </w:r>
    </w:p>
    <w:p>
      <w:r>
        <w:rPr>
          <w:b/>
        </w:rPr>
        <w:t xml:space="preserve">Dvärgfjällskivling (VU) </w:t>
      </w:r>
      <w:r>
        <w:t>är en nedbrytare i lövförna och andra växtrester i ädellövskog, hässlen, löväng och lund på kalkrik mark. Mycket sällsynt och total population i landet liten och bedöms ha minskat och fortsätta minska, framför allt p.g.a. igenväxning av halvöppna ädellövrika äldre fodermarker med mosaikstruktur. Även avverkning och körskador eller markberedning är konkreta hot på kända växtplatser (SLU Artdatabanken, 2024).</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Violettfläckig spindling (VU)</w:t>
      </w:r>
      <w:r>
        <w:t xml:space="preserve"> bildar mykorrhiza med gran och tall i äldre kalkbarrskogar på torr, örtrik mark. Minskningstakten uppgår till 30 % inom 50 år och överstiger gränsvärdet för Sårbar (VU). Artens ekologiska krav med fynd enbart i äldre, örtrika kalkbarrskogar med kontinuitet, miljöer som idag ofta är starkt hotade av slutavverkningar, gör den mycket sårbar. Alla kända lokaler har ett högt skyddsvärde och kalkbarrskogar med höga naturvärden bör få områdesskydd med individuellt anpassade skötselråd (SLU Artdatabanken, 2024).</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