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2649-2023 i Gotlands kommun</w:t>
      </w:r>
    </w:p>
    <w:p>
      <w:r>
        <w:t>Detta klagomål behandlar höga naturvärden i avverkningsanmälan A 2649-2023 i Gotlands kommun som inkom 2023-01-17 och omfattar 2,6 ha.</w:t>
      </w:r>
    </w:p>
    <w:p>
      <w:pPr>
        <w:pStyle w:val="Caption"/>
      </w:pPr>
      <w:r>
        <w:drawing>
          <wp:inline xmlns:a="http://schemas.openxmlformats.org/drawingml/2006/main" xmlns:pic="http://schemas.openxmlformats.org/drawingml/2006/picture">
            <wp:extent cx="5486400" cy="4358565"/>
            <wp:docPr id="1" name="Picture 1"/>
            <wp:cNvGraphicFramePr>
              <a:graphicFrameLocks noChangeAspect="1"/>
            </wp:cNvGraphicFramePr>
            <a:graphic>
              <a:graphicData uri="http://schemas.openxmlformats.org/drawingml/2006/picture">
                <pic:pic>
                  <pic:nvPicPr>
                    <pic:cNvPr id="0" name="A 2649-2023 karta.png"/>
                    <pic:cNvPicPr/>
                  </pic:nvPicPr>
                  <pic:blipFill>
                    <a:blip r:embed="rId16"/>
                    <a:stretch>
                      <a:fillRect/>
                    </a:stretch>
                  </pic:blipFill>
                  <pic:spPr>
                    <a:xfrm>
                      <a:off x="0" y="0"/>
                      <a:ext cx="5486400" cy="435856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6361260, E 704050 i SWEREF 99 TM.</w:t>
      </w:r>
    </w:p>
    <w:p>
      <w:r>
        <w:t>I och inom 23 meter från avverkningsanmälan finns fynd av 11 naturvårdsarter, varav 9 är rödlistade, 1 är fridlyst, 1 är typisk (T) och 2 är signalarter (S): duvspindling (VU), garderönn (VU, §7), granrotspindling (VU), gul lammticka (VU), gulsträngad fagerspindling (VU), svartgrön spindling (VU), violettfläckig spindling (VU), blå slemspindling (NT, T), svinrot (NT), anisspindling (S) och olivspindling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