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26987-2026 i Gotlands kommun</w:t>
      </w:r>
    </w:p>
    <w:p>
      <w:r>
        <w:t>Detta klagomål behandlar höga naturvärden i avverkningsanmälan A 26987-2026 i Gotlands kommun som inkom 2026-06-12 och omfattar 4,6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6987-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6363924, E 696759 i SWEREF 99 TM.</w:t>
      </w:r>
    </w:p>
    <w:p>
      <w:r>
        <w:t>I och inom 18 meter från avverkningsanmälan finns fynd av 18 naturvårdsarter, varav 13 är rödlistade, 6 är fridlysta, 6 är typiska (T) och 2 är signalarter (S): ask (EN), granrotspindling (VU), backtimjan (NT), blå slemspindling (NT, T), dårgräsfjäril (NT, §4a), grönsångare (NT, §4), odörspindling (NT), reliktbock (NT, T), röd skogslilja (NT, §8), solvända (NT), svinrot (NT), sårläka (NT, T), ängsstarr (NT), skogsknipprot (S, T, §8), svavelriska (S), ormbär (T), spillkråka (T, §4) och halsbandsflugsnappare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