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63872-2021 i Gotlands kommun</w:t>
      </w:r>
    </w:p>
    <w:p>
      <w:r>
        <w:t>Detta klagomål behandlar höga naturvärden i avverkningsanmälan A 63872-2021 i Gotlands kommun som inkom 2021-11-09 och omfattar 20,5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63872-2021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6415580, E 710425 i SWEREF 99 TM.</w:t>
      </w:r>
    </w:p>
    <w:p>
      <w:r>
        <w:t>I och inom 1 meter från avverkningsanmälan finns fynd av 18 naturvårdsarter, varav 14 är rödlistade, 4 är fridlysta, 2 är typiska (T) och 1 är signalart (S): duvspindling (VU), gulsträngad fagerspindling (VU), lundvaxskivling (VU), narrspindling (VU), svartfläckig blåvinge (VU, §4a), svartgrön spindling (VU), tallpraktspindling (VU), backtimjan (NT), barrfagerspindling (NT), jordtistel (NT), jungfrulin (NT), kristallporing (NT), odörspindling (NT), svinrot (NT), fransig jordstjärna (S), blåsippa (T, §9), spillkråka (T,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Tallpraktspindling (VU)</w:t>
      </w:r>
      <w:r>
        <w:t>, som bildar mykorrhiza med tall i luckig kalkbarrskog, har sin huvudsakliga utbredning på Gotland samt enstaka fynd på norra Öland. Arten är placerad högst upp i Skogsstyrelsens värdepyramid för bedömning av skog med höga naturvärden och gammal tallskog med förekomst av arten bör skyddas från slutavverkning och andra drastiska skogsskötselåtgärder (SLU Artdatabanken, 2024;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Kristallporing (NT) </w:t>
      </w:r>
      <w:r>
        <w:t>är en nedbrytare på liggande, fuktiga och genommurkna lågor av ofta gran men även lövträd, i skog med hög luftfuktighet. Arten torde missgynnas av åtgärder som leder till minskad tillgång på lämpligt vedsubstrat i fuktiga lägen, t ex slutavverkning, gallring och sönderkörning av lågor. Arten är uppenbarligen sällsynt och med liten population. Den hotas av brist på död ved i brukad skog. Alla skogliga åtgärder som innebär att lågor och döda eller skadade träd tas bort missgynnar arten. En slutavverkning, skoglig gallring eller annat uttag av virke på växtplatsen som ger ett förändrat lokalklimat innebär ett direkt hot. För att säkerställa kristallporingens fortlevnad bör man dels se till att dess växtplatser hålls intakta, dels att ny ved tillkommer, gärna i omedelbar anslutning. Befintliga vindfällen, döende träd, torrakor och lågor lämnas intakta. Ett långsiktigt tillförsäkrande om framtida tillgång till ved är en förutsättning för artens fortlevnad i området (SLU Artdatabanken, 2025).</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