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14450-2023 i Gotlands kommun</w:t>
      </w:r>
    </w:p>
    <w:p>
      <w:r>
        <w:t>Denna tillsynsbegäran behandlar höga naturvärden i avverkningsanmälan A 14450-2023 i Gotlands kommun som inkom 2023-03-27 och omfattar 11,6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14450-2023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6359099, E 693084 i SWEREF 99 TM.</w:t>
      </w:r>
    </w:p>
    <w:p>
      <w:r>
        <w:t>I och inom 22 meter från avverkningsanmälan finns fynd av 37 naturvårdsarter, varav 24 är rödlistade, 6 är fridlysta, 5 är typiska (T) och 10 är signalarter (S): bullspindling (VU), duvspindling (VU), granrotspindling (VU), gulsträngad fagerspindling (VU), pluggtrattskivling (VU), svartgrön spindling (VU), trollspindling (VU), ullmusseron (VU), vit taggsvamp (VU), backtimjan (NT), bittermusseron (NT), blå slemspindling (NT, T), denisespindling (NT), dårgräsfjäril (NT, §4a), fjällig taggsvamp s.str. (NT), flattoppad klubbsvamp (NT), grönnopping (NT), gulsparv (NT, §4), jordtistel (NT), kattfotslav (NT, T), mjölsvärting (NT), odörspindling (NT), rödfläckig zontaggsvamp (NT), svinrot (NT), anisspindling (S), diskvaxskivling (S), fransig jordstjärna (S), kastanjefjällskivling (S), mindre märgborre (S, T), murgröna (S, T), nästrot (S, §8), olivspindling (S), rödgul trumpetsvamp (S), vågbandad barkbock (S), blåsippa (T, §9),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Pluggtrattskivling (VU)</w:t>
      </w:r>
      <w:r>
        <w:t>, rödlistad som sårbar,</w:t>
      </w:r>
      <w:r>
        <w:rPr>
          <w:b/>
        </w:rPr>
        <w:t xml:space="preserve"> </w:t>
      </w:r>
      <w:r>
        <w:t>är en stor, kraftig och uppmärksammad svamp som uppenbart är mycket ovanlig. Den växer i förna under barrträd i gammal barrskog, helst ängsgranskog på kalkrik mark. Skogsbruk, särskilt slutavverkning, inverkar negativt på arten. Den är troligen också känslig för gallring och markberedning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Ullmusseron (VU)</w:t>
      </w:r>
      <w:r>
        <w:t xml:space="preserve"> bildar mykorrhiza med gran, eventuellt även med tall, i kalkbarrskog, sällsynt även med bok i bokskog på kalkrik mark. Arten har sin huvudsakliga förekomst på Gotland. En handfull bekräftade fynd finns från norra Öland och från kalkrik bokskog i Skåne. Den totala populationen i landet har minskat kraftigt och bedöms fortsätta minska på grund av avverkning av kalkbarrskogar och tilltagande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kattfotslav (NT, T), mindre märgborre (S, T), murgröna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