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4716-2024 i Gotlands kommun</w:t>
      </w:r>
    </w:p>
    <w:p>
      <w:r>
        <w:t>Denna tillsynsbegäran behandlar höga naturvärden i avverkningsanmälan A 4716-2024 i Gotlands kommun som inkom 2024-02-06 och omfattar 8,0 ha.</w:t>
      </w:r>
    </w:p>
    <w:p>
      <w:pPr>
        <w:pStyle w:val="Caption"/>
      </w:pPr>
      <w:r>
        <w:drawing>
          <wp:inline xmlns:a="http://schemas.openxmlformats.org/drawingml/2006/main" xmlns:pic="http://schemas.openxmlformats.org/drawingml/2006/picture">
            <wp:extent cx="4352454" cy="5724000"/>
            <wp:docPr id="1" name="Picture 1"/>
            <wp:cNvGraphicFramePr>
              <a:graphicFrameLocks noChangeAspect="1"/>
            </wp:cNvGraphicFramePr>
            <a:graphic>
              <a:graphicData uri="http://schemas.openxmlformats.org/drawingml/2006/picture">
                <pic:pic>
                  <pic:nvPicPr>
                    <pic:cNvPr id="0" name="A 4716-2024 karta.png"/>
                    <pic:cNvPicPr/>
                  </pic:nvPicPr>
                  <pic:blipFill>
                    <a:blip r:embed="rId16"/>
                    <a:stretch>
                      <a:fillRect/>
                    </a:stretch>
                  </pic:blipFill>
                  <pic:spPr>
                    <a:xfrm>
                      <a:off x="0" y="0"/>
                      <a:ext cx="435245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6358315, E 692988 i SWEREF 99 TM.</w:t>
      </w:r>
    </w:p>
    <w:p>
      <w:r>
        <w:t>I och inom 25 meter från avverkningsanmälan finns fynd av 57 naturvårdsarter, varav 36 är rödlistade, 15 är fridlysta, 7 är typiska (T) och 10 är signalarter (S): blek bananspindling (EN), bredbrämad bastardsvärmare (VU), bullspindling (VU), droppskivling (VU), duvspindling (VU), dvärgfjällskivling (VU), fjällfotad musseron (VU), fågelträcksspindling (VU), gulsträngad fagerspindling (VU), mörkfjällig olivspindling (VU), narrspindling (VU), praktspindling (VU), sammetsbockrot (VU), svartgrön spindling (VU), tallvaxskivling (VU), tvillingspindling (VU), ullmusseron (VU), violettfläckig spindling (VU), violettrandad spindling (VU), vit taggsvamp (VU), backtimjan (NT), barrfagerspindling (NT), blekspindling agg. (NT), denisespindling (NT), dropptaggsvamp (NT, T), dårgräsfjäril (NT, §4a), flattoppad klubbsvamp (NT), gulsparv (NT, §4), jordtistel (NT), kryddspindling (NT, T), majviva (NT), odörspindling (NT), reliktbock (NT, T), sandkremla (NT), slåtterfibbla (NT, T), pärlchampinjon (DD), anisspindling (S), besk kastanjemusseron (S), diskvaxskivling (S), kastanjefjällskivling (S), murgröna (S, T), olivspindling (S), purpurknipprot (S, §8), rödgul trumpetsvamp (S), skogsknipprot (S, T, §8), strimspindling (S), blåsippa (T, §9), grönsiska (§4), kråka (§4), skogsduva (§4), skogsödla (§6), brudsporre (§8), grönvit nattviol (§8), johannesnycklar (§8), kärrknipprot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 bananspindling (EN)</w:t>
      </w:r>
      <w:r>
        <w:t xml:space="preserve"> är en sällsynt och starkt hotad art som bildar mykorrhiza med tall i äldre kalktallskog. Främsta hotet utgörs av skogsbruk med slutavverkning eller andra avverkningar. Arten har så pass få kända lokaler i Norden att alla dess växtplatser formellt bör skyddas. Om svampen påträffas på nya lokaler bör även dessa skyddas. Blek bananspindling</w:t>
      </w:r>
      <w:r>
        <w:rPr>
          <w:b/>
        </w:rPr>
        <w:t xml:space="preserve"> </w:t>
      </w:r>
      <w:r>
        <w:t>är globalt rödlistad som sårbar (VU) vilket innebär att Sverige har ett internationellt ansvar för arten (SLU Artdatabanken, 2026; IUCN, 2015).</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Droppskivling (VU)</w:t>
      </w:r>
      <w:r>
        <w:t xml:space="preserve"> är en nedbrytare i gräsmark, gläntor och bryn i barr- och lövskog på kalkrik mark, huvudsakligen i betad och ljusöppen skog. Arten missgynnas troligen av avverkning och andra skogsbruksåtgärder. Samtliga lokaler bör skyddas (SLU Artdatabanken, 2026).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Dvärgfjällskivling (VU) </w:t>
      </w:r>
      <w:r>
        <w:t>är en nedbrytare i lövförna och andra växtrester i ädellövskog, hässlen, löväng och lund på kalkrik mark. Mycket sällsynt och total population i landet liten och bedöms ha minskat och fortsätta minska, framför allt p.g.a. igenväxning av halvöppna ädellövrika äldre fodermarker med mosaikstruktur. Även avverkning och körskador eller markberedning är konkreta hot på kända växtplatser (SLU Artdatabanken, 2024).</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 xml:space="preserve">Praktspindling (VU) </w:t>
      </w:r>
      <w:r>
        <w:t>bildar mykorrhiza med ek, avenbok och hassel och påträffas i hässlen, ädellövskog och löväng, på torr och kalkrik mark. Avverkning av lövskog eller annan förändring av miljön på växtplatserna kan spoliera artens förekomst och oskyddade lokaler kan behöva säkerställas för att undgå förstörelse. För att öka artens möjligheter att överleva i landet bör fler och större arealer av lövskog skyddas. Praktspindling är placerad högst upp i Skogsstyrelsens värdepyramid för bedömning av skog med höga naturvärden och är även globalt rödlistad som nära hotad (NT) vilket innebär att Sverige har ett internationellt ansvar för arten (SLU Artdatabanken, 2024; IUCN, 2019;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Tallvaxskivling (VU)</w:t>
      </w:r>
      <w:r>
        <w:t xml:space="preserve"> bildar mykorrhiza med tall i tallskog på kalkrik mark, gärna i lite sluttande lägen med rörligt grundvatten. I Sverige är den endast funnen på Gotland. Lokalerna bör undantas från skogsbruksåtgärder som kan skada arten och skydd bör övervägas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Ullmusseron (VU)</w:t>
      </w:r>
      <w:r>
        <w:t xml:space="preserve"> bildar mykorrhiza med gran, eventuellt även med tall, i kalkbarrskog, sällsynt även med bok i bokskog på kalkrik mark. Arten har sin huvudsakliga förekomst på Gotland. En handfull bekräftade fynd finns från norra Öland och från kalkrik bokskog i Skåne. Den totala populationen i landet har minskat kraftigt och bedöms fortsätta minska på grund av avverkning av kalkbarrskogar och tilltagande fragmentering av artens livsmiljöer.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Sandkremla (NT) </w:t>
      </w:r>
      <w:r>
        <w:t>bildar mykorrhiza med tall, i tallskog på sanddyner och tallhedar på kalkrik mark. Knuten till en väl avgränsad och väl genomsökt miljö och växer huvudsakligen i äldre skogsbestånd. Total population i landet bedöms fortgående att minska p.g.a. avverkning av äldre kalktallskog. Tallskog på sandig mark hyser en rad ovanliga svamparter och det är angeläget att sådana skogar undantas från avverkning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kryddspindling (NT, T), reliktbock (NT, T), slåtterfibbla (NT, T), murgröna (S, T), skogsknipprot (S, T, §8)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