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61664-2023 i Gotlands kommun</w:t>
      </w:r>
    </w:p>
    <w:p>
      <w:r>
        <w:t>Denna tillsynsbegäran behandlar höga naturvärden i avverkningsanmälan A 61664-2023 i Gotlands kommun som inkom 2023-12-05 och omfattar 4,8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61664-2023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6411589, E 736426 i SWEREF 99 TM.</w:t>
      </w:r>
    </w:p>
    <w:p>
      <w:r>
        <w:t>I och inom 25 meter från avverkningsanmälan finns fynd av 19 naturvårdsarter, varav 8 är rödlistade, 6 är fridlysta, 4 är typiska (T) och 7 är signalarter (S): klenodspindling (EN), duvspindling (VU), gulsträngad fagerspindling (VU), blå slemspindling (NT, T), majviva (NT), odörspindling (NT), svinrot (NT), ängsstarr (NT), anisspindling (S), axag (S), blåmossa (S, T), kärrlilja (S), nästrot (S, §8), skogsknipprot (S, T, §8), svavelriska (S), spillkråka (T, §4), brudsporre (§8), kärrknipprot (§8)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Klenodspindling (EN)</w:t>
      </w:r>
      <w:r>
        <w:t>, som bildar mykorrhiza med tall och/eller gran i luckig barrskog på kalkrik mark, är en av Europas sällsyntaste spindelskivlingar och i norra Europa är svampen bara känd från Gotland. Arten är placerad högst upp i Skogsstyrelsens värdepyramid för bedömning av skog med höga naturvärden och växtplatserna utgör ofta ”hotspots” med en koncentration av andra sällsynta och hotade mykorrhizasvampar med liknande miljökrav. Arten hotas av avverkningar och kända fyndlokaler behöver områdesskydd, en nödvändighet och förutsättning för artens framtida fortbestånd i Norra Europa. Sverige (och Gotland) har ett stort internationellt ansvar för att denna sällsynta art bevaras på sina få kända växtplatser (SLU Artdatabanken, 2026;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