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27 naturvårdsarter, varav 18 är rödlistade, 4 är fridlysta, 5 är typiska (T) och 6 är signalarter (S): blårödling (VU), garderönn (VU, §7), granrotspindling (VU), gulsträngad fagerspindling (VU), svartgrön spindling (VU), backtimjan (NT), barrviolspindling (NT), blå slemspindling (NT, T), denisespindling (NT), dårgräsfjäril (NT, §4a), flattoppad klubbsvamp (NT), jungfrulin (NT), kryddspindling (NT, T), odörspindling (NT), sandkremla (NT), solvända (NT), vippärt (NT, T), äggspindling (NT), anisspindling (S), fransig jordstjärna (S), olivspindling (S), rödgul trumpetsvamp (S), svavelriska (S), vågbandad barkbock (S), getrams (T),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