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61697-2023 i Gotlands kommun</w:t>
      </w:r>
    </w:p>
    <w:p>
      <w:r>
        <w:t>Detta klagomål behandlar höga naturvärden i avverkningsanmälan A 61697-2023 i Gotlands kommun som inkom 2023-12-05 och omfattar 8,7 ha.</w:t>
      </w:r>
    </w:p>
    <w:p>
      <w:pPr>
        <w:pStyle w:val="Caption"/>
      </w:pPr>
      <w:r>
        <w:drawing>
          <wp:inline xmlns:a="http://schemas.openxmlformats.org/drawingml/2006/main" xmlns:pic="http://schemas.openxmlformats.org/drawingml/2006/picture">
            <wp:extent cx="5486400" cy="4438139"/>
            <wp:docPr id="1" name="Picture 1"/>
            <wp:cNvGraphicFramePr>
              <a:graphicFrameLocks noChangeAspect="1"/>
            </wp:cNvGraphicFramePr>
            <a:graphic>
              <a:graphicData uri="http://schemas.openxmlformats.org/drawingml/2006/picture">
                <pic:pic>
                  <pic:nvPicPr>
                    <pic:cNvPr id="0" name="A 61697-2023 karta.png"/>
                    <pic:cNvPicPr/>
                  </pic:nvPicPr>
                  <pic:blipFill>
                    <a:blip r:embed="rId16"/>
                    <a:stretch>
                      <a:fillRect/>
                    </a:stretch>
                  </pic:blipFill>
                  <pic:spPr>
                    <a:xfrm>
                      <a:off x="0" y="0"/>
                      <a:ext cx="5486400" cy="443813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6411743, E 736754 i SWEREF 99 TM.</w:t>
      </w:r>
    </w:p>
    <w:p>
      <w:r>
        <w:t>I och inom 13 meter från avverkningsanmälan finns fynd av 17 naturvårdsarter, varav 13 är rödlistade, 3 är fridlysta, 3 är typiska (T) och 3 är signalarter (S): tallkejsarspindling (EN), bullspindling (VU), duvspindling (VU), granrotspindling (VU), gulsträngad fagerspindling (VU), läderdoftande fingersvamp (VU), ryl (VU, T), svartgrön spindling (VU), violettrandad spindling (VU), denisespindling (NT), odörspindling (NT), röd skogslilja (NT, §8), säfferot (NT), anisspindling (S), murgröna (S, T), nästrot (S,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Tallkejsarspindling (EN)</w:t>
      </w:r>
      <w:r>
        <w:t xml:space="preserve"> är en starkt hotad art som bildar mykorrhiza med tall, sällsynt möjligen även med gran, i kalkbarrskog. Arten är mycket sällsynt i Norden och bara känd från enstaka platser på Gotland, norra Öland samt någon enstaka kustnära lokal i nordöstra Uppland. Den är placerad högst upp i Skogsstyrelsens värdepyramid för bedömning av skog med höga naturvärden och hotas av skogsbruk med slutavverkningar eller andra avverkningar. Samtliga lokaler och växtplatser bör få ett formellt skydd (SLU Artdatabanken, 2026; Nitare &amp; Skogsstyrelsen, 2019).</w:t>
      </w:r>
    </w:p>
    <w:p>
      <w:r>
        <w:rPr>
          <w:b/>
        </w:rPr>
        <w:t>Bullspindling (VU)</w:t>
      </w:r>
      <w:r>
        <w:t xml:space="preserve"> är en kräsen och mycket bra signalart för skyddsvärda äldre granskogar på kalkrik mark. Den är placerad högst upp i Skogsstyrelsens värdepyramid för bedömning av skog med höga naturvärden och skogsbruk, främst kalavverkning utgör ett stort hot mot arten. Artens minskningstakt uppgår till 30 % inom 50 år och överstiger gränsvärdet för Sårbar (VU) (SLU Artdatabanken, 2024; Nitare &amp; Skogsstyrelsen, 2019).</w:t>
      </w:r>
    </w:p>
    <w:p>
      <w:r>
        <w:rPr>
          <w:b/>
        </w:rPr>
        <w:t>Duvspindling (VU)</w:t>
      </w:r>
      <w:r>
        <w:t xml:space="preserve"> bildar mykorrhiza med tall och förmodligen även gran i torr, kalkrik barrskog. Arten är placerad högst upp i Skogsstyrelsens värdepyramid för bedömning av skog med höga naturvärden och utgör en mycket bra indikator på skyddsvärd kalktallskog av sydöstlig typ. Kalavverkning, markberedning och markavvattning utgör de främsta hoten (SLU Artdatabanken, 2024; Nitare &amp; Skogsstyrelsen, 2019).</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Violettrandad spindling (VU)</w:t>
      </w:r>
      <w:r>
        <w:t xml:space="preserve"> är en sällsynt barrskogsart som bildar mykorrhiza med tall, i kalktallskog och lavtallskog på kalkrik mark. Intensivt skogsbruk med kalavverkning, markberedning etc. minskar artens möjligheter att överleva och dess minskningstakt uppgår till 30 % inom 50 år och överstiger gränsvärdet för Sårbar (VU). Violettrandad spindling är placerad högst upp i Skogsstyrelsens värdepyramid för bedömning av skog med höga naturvärden och på artens kända växtplatser bör avverkning undvikas (SLU Artdatabanken, 2024;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Röd skogslilja (NT, §8)</w:t>
      </w:r>
      <w:r>
        <w:t xml:space="preserve"> växer i öppna skogar, oftast i barrskogar, vilka domineras av tall. Den gynnas av kalk och sand och hittas i torrare miljöer än de flesta andra orkidéer. Arten är mycket känslig för markberedning men även av en alltför kraftig beskuggning. Den är känslig mot slutavverkning men vissa skogsbruksåtgärder kan möjligen gynna arten om det görs på rätt sätt. Röd skogslilja är fridlyst enligt 8 § artskyddsförordningen och placerad högst upp i Skogsstyrelsens värdepyramid för bedömning av skog med höga naturvärden (SLU Artdatabanken, 2024;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