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15075-2025 i Gotlands kommun</w:t>
      </w:r>
    </w:p>
    <w:p>
      <w:r>
        <w:t>Denna tillsynsbegäran behandlar höga naturvärden i avverkningsanmälan A 15075-2025 i Gotlands kommun som inkom 2025-03-27 och omfattar 20,9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15075-2025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6367887, E 715321 i SWEREF 99 TM.</w:t>
      </w:r>
    </w:p>
    <w:p>
      <w:r>
        <w:t>I avverkningsanmälan finns fynd av 30 naturvårdsarter, varav 18 är rödlistade, 4 är fridlysta, 8 är typiska (T) och 9 är signalarter (S): violgubbe (EN), bananspindling (VU), granrotspindling (VU), läderdoftande fingersvamp (VU), narrspindling (VU), svartgrön spindling (VU), taggfingersvamp (VU), tallpraktspindling (VU), trollspindling (VU), violettfläckig spindling (VU), barrviolspindling (NT), blå slemspindling (NT, T), fjällig taggsvamp s.str. (NT), kattfotslav (NT, T), kryddspindling (NT, T), odörspindling (NT), sårläka (NT, T), äggspindling (NT), anisspindling (S), blåmossa (S, T), grönpyrola (S, T), kalktallört (S), olivspindling (S), rödgul trumpetsvamp (S), skogsknipprot (S, T, §8), svavelriska (S), toppvaxing (S), spillkråka (T, §4),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Bananspindling (VU) </w:t>
      </w:r>
      <w:r>
        <w:t>bildar mykorrhiza med ek, hassel och lind, i blandad ädellövskog och hässlen på kalkrik mark. Främsta hotet är olika former av exploateringar och skogsbruksåtgärder. Artens växtplatser får inte utsättas för huggningar eller andra kraftiga störningar som förändrar miljön. Bananspindlingen har fått sitt namn från att den har en mer eller mindre tydlig doft av banan/bananskal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kattfotslav (NT, T), kryddspindling (NT, T), sårläka (NT, T), blåmossa (S, T), grönpyrola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