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17766-2024 i Gotlands kommun</w:t>
      </w:r>
    </w:p>
    <w:p>
      <w:r>
        <w:t>Denna tillsynsbegäran behandlar höga naturvärden i avverkningsanmälan A 17766-2024 i Gotlands kommun som inkom 2024-05-06 och omfattar 1,3 ha.</w:t>
      </w:r>
    </w:p>
    <w:p>
      <w:pPr>
        <w:pStyle w:val="Caption"/>
      </w:pPr>
      <w:r>
        <w:drawing>
          <wp:inline xmlns:a="http://schemas.openxmlformats.org/drawingml/2006/main" xmlns:pic="http://schemas.openxmlformats.org/drawingml/2006/picture">
            <wp:extent cx="5486400" cy="4795862"/>
            <wp:docPr id="1" name="Picture 1"/>
            <wp:cNvGraphicFramePr>
              <a:graphicFrameLocks noChangeAspect="1"/>
            </wp:cNvGraphicFramePr>
            <a:graphic>
              <a:graphicData uri="http://schemas.openxmlformats.org/drawingml/2006/picture">
                <pic:pic>
                  <pic:nvPicPr>
                    <pic:cNvPr id="0" name="A 17766-2024 karta.png"/>
                    <pic:cNvPicPr/>
                  </pic:nvPicPr>
                  <pic:blipFill>
                    <a:blip r:embed="rId16"/>
                    <a:stretch>
                      <a:fillRect/>
                    </a:stretch>
                  </pic:blipFill>
                  <pic:spPr>
                    <a:xfrm>
                      <a:off x="0" y="0"/>
                      <a:ext cx="5486400" cy="479586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6391378, E 701190 i SWEREF 99 TM.</w:t>
      </w:r>
    </w:p>
    <w:p>
      <w:r>
        <w:t>I och inom 25 meter från avverkningsanmälan finns fynd av 12 naturvårdsarter, varav 9 är rödlistade, 2 är fridlysta, 2 är typiska (T) och 3 är signalarter (S): svartnande fingersvamp (EN), bredbrämad bastardsvärmare (VU), gråfingerört (VU), gulsträngad fagerspindling (VU), naveljordstjärna (VU), svartfläckig blåvinge (VU, §4a), fyrflikig jordstjärna (NT, T), timjansnyltrot (NT, §8), vippärt (NT, T), besk kastanjemusseron (S), kragjordstjärna (S)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Svartnande fingersvamp (EN) </w:t>
      </w:r>
      <w:r>
        <w:t>är en mycket sällsynt och starkt hotad art som bara är påträffad i mycket exklusiva miljöer. Den indikerar överallt starkt skyddsvärda områden, såväl skogsmiljöer som öppna kalktorrängar. Lövskogslokalerna utgör gamla strandskogar, lövängar och hagmarker som sedan lång tid tillbaka är igenvuxna och mer eller mindre naturskogsartade. Dessa områden kräver ingen hävd, utan all form av avverkning som leder till mer slutet fältskikt innebär ett hot. På samtliga kända växtplatser förekommer en stor koncentration av andra sällsynta och hotade arter. Svampen är i hela Europa starkt hotad och Sverige hyser sannolikt en stor andel av världspopulationen. Samtliga växtplatser bör skyddas. Svartnande fingersvamp</w:t>
      </w:r>
      <w:r>
        <w:rPr>
          <w:b/>
        </w:rPr>
        <w:t xml:space="preserve"> </w:t>
      </w:r>
      <w:r>
        <w:t>är placerad högst upp i Skogsstyrelsens värdepyramid för bedömning av skog med höga naturvärden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