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27 naturvårdsarter, varav 18 är rödlistade, 4 är fridlysta, 5 är typiska (T) och 6 är signalarter (S): blårödling (VU), garderönn (VU, §7), granrotspindling (VU), gulsträngad fagerspindling (VU), svartgrön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