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42607-2025 i Gotlands kommun</w:t>
      </w:r>
    </w:p>
    <w:p>
      <w:r>
        <w:t>Detta dokument behandlar höga naturvärden i avverkningsanmälan A 42607-2025 i Gotlands kommun. Denna avverkningsanmälan inkom 2025-09-05 00:00:00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29 naturvårdsarter hittats: blåbandad spindling (VU), bullspindling (VU), duvspindling (VU), granrotsspindling (VU), gulsträngad fagerspindling (VU), knölfotad bananspindling (VU), läderdoftande fingersvamp (VU), stor granspindling (VU), stor odörspindling (VU), svartgrön spindling (VU), violettfläckig spindling (VU), violgubbe (VU), backtimjan (NT), bittermusseron (NT), denisespindling (NT), odörspindling (NT), spillkråka (NT, §4), ullticka (NT), anisspindling (S), blomkålssvamp (S), blå slemspindling (S), blåmossa (S), brun klibbskivling (S), kattfotslav (S), kryddspindling (S), nästrot (S, §8), olivspindling (S), tjockfotad fingersvamp (S) och nattviol (§8).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4839"/>
            <wp:docPr id="1" name="Picture 1"/>
            <wp:cNvGraphicFramePr>
              <a:graphicFrameLocks noChangeAspect="1"/>
            </wp:cNvGraphicFramePr>
            <a:graphic>
              <a:graphicData uri="http://schemas.openxmlformats.org/drawingml/2006/picture">
                <pic:pic>
                  <pic:nvPicPr>
                    <pic:cNvPr id="0" name="A 42607-2025 karta.png"/>
                    <pic:cNvPicPr/>
                  </pic:nvPicPr>
                  <pic:blipFill>
                    <a:blip r:embed="rId16"/>
                    <a:stretch>
                      <a:fillRect/>
                    </a:stretch>
                  </pic:blipFill>
                  <pic:spPr>
                    <a:xfrm>
                      <a:off x="0" y="0"/>
                      <a:ext cx="5486400" cy="39148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6374273, E 717170 i SWEREF 99 TM.</w:t>
      </w:r>
    </w:p>
    <w:p>
      <w:r>
        <w:rPr>
          <w:b/>
        </w:rPr>
        <w:t>Bittermusseron (NT)</w:t>
      </w:r>
      <w:r>
        <w:t xml:space="preserve"> är en kalkgynnad och värmeälskande förnasvamp som påträffas i äldre kalkbarrskogar, gärna på relativt torr mark. Virkesrika, äldre barrskogar med hög bonitet, på bättre jordar är en bristvara i befintliga, skyddade områden i Sverige. Därför måste fler örtrika barrskogar, särskilt de med trädkontinuitet, skyddas i större utsträckning än vad som tidigare gjorts. Uttag av skog ska helst göras genom plockhuggning, blädning eller andra alternativa, skonsamma avverkningsformer (SLU Artdatabanken, 2024;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Knölfotad bananspindling (VU) </w:t>
      </w:r>
      <w:r>
        <w:t>är en mycket sällsynt svamp som bildar mykorrhiza med hassel i solvarma hässlen, lövängar och ek-/hasselskog i mosaikartade miljöer. Lokaler med knölfotad bananspindling utgör utpräglade så kallade "hotspots" med en lång rad andra sällsynta och hotade arter och bör uppmärksammas av naturvården och vid behov skyddas vilket gäller såväl större sammanhängande lokalområden som enskilda smålokaler. Arten är placerad högst upp i Skogsstyrelsens värdepyramid för bedömning av skog med höga naturvärden och är även globalt rödlistad som sårbar (VU) vilket innebär att Sverige har ett internationellt ansvar för arten (SLU Artdatabanken, 2024; IUCN, 2021;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spillkråka (NT, §4), nästrot (S,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