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37860-2025 i Olofströms kommun</w:t>
      </w:r>
    </w:p>
    <w:p>
      <w:r>
        <w:t>Denna tillsynsbegäran behandlar höga naturvärden i avverkningsanmälan A 37860-2025 i Olofströms kommun som inkom 2025-08-12 och omfattar 2,2 ha.</w:t>
      </w:r>
    </w:p>
    <w:p>
      <w:pPr>
        <w:pStyle w:val="Caption"/>
      </w:pPr>
      <w:r>
        <w:drawing>
          <wp:inline xmlns:a="http://schemas.openxmlformats.org/drawingml/2006/main" xmlns:pic="http://schemas.openxmlformats.org/drawingml/2006/picture">
            <wp:extent cx="4671649" cy="5724000"/>
            <wp:docPr id="1" name="Picture 1"/>
            <wp:cNvGraphicFramePr>
              <a:graphicFrameLocks noChangeAspect="1"/>
            </wp:cNvGraphicFramePr>
            <a:graphic>
              <a:graphicData uri="http://schemas.openxmlformats.org/drawingml/2006/picture">
                <pic:pic>
                  <pic:nvPicPr>
                    <pic:cNvPr id="0" name="A 37860-2025 karta.png"/>
                    <pic:cNvPicPr/>
                  </pic:nvPicPr>
                  <pic:blipFill>
                    <a:blip r:embed="rId16"/>
                    <a:stretch>
                      <a:fillRect/>
                    </a:stretch>
                  </pic:blipFill>
                  <pic:spPr>
                    <a:xfrm>
                      <a:off x="0" y="0"/>
                      <a:ext cx="4671649"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6243513, E 481347 i SWEREF 99 TM.</w:t>
      </w:r>
    </w:p>
    <w:p>
      <w:r>
        <w:t>Inom 23 meter från avverkningsanmälan finns fynd av 5 naturvårdsarter, varav 5 är typiska (T) och 1 är signalart (S): rostfläck (S, T), ekbräken (T), glansfläck (T), liljekonvalj (T) och skriftlav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Skriftlav</w:t>
      </w:r>
      <w:r>
        <w:t xml:space="preserve"> är typisk art för </w:t>
      </w:r>
      <w:r>
        <w:rPr>
          <w:i/>
        </w:rPr>
        <w:t xml:space="preserve">9190 Näringsfattig ekskog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rostfläck (S, T), ekbräken (T), glansfläck (T), liljekonvalj (T) och skriftlav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