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samrådsanmälan S 4909-2022 i Olofströms kommun</w:t>
      </w:r>
    </w:p>
    <w:p>
      <w:r>
        <w:t>Denna tillsynsbegäran behandlar höga naturvärden i samrådsanmälan S 4909-2022 i Olofströms kommun som inkom 2022-09-05 och omfattar 10,0 ha.</w:t>
      </w:r>
    </w:p>
    <w:p>
      <w:pPr>
        <w:pStyle w:val="Caption"/>
      </w:pPr>
      <w:r>
        <w:drawing>
          <wp:inline xmlns:a="http://schemas.openxmlformats.org/drawingml/2006/main" xmlns:pic="http://schemas.openxmlformats.org/drawingml/2006/picture">
            <wp:extent cx="5486400" cy="5582316"/>
            <wp:docPr id="1" name="Picture 1"/>
            <wp:cNvGraphicFramePr>
              <a:graphicFrameLocks noChangeAspect="1"/>
            </wp:cNvGraphicFramePr>
            <a:graphic>
              <a:graphicData uri="http://schemas.openxmlformats.org/drawingml/2006/picture">
                <pic:pic>
                  <pic:nvPicPr>
                    <pic:cNvPr id="0" name="S 4909-2022 karta.png"/>
                    <pic:cNvPicPr/>
                  </pic:nvPicPr>
                  <pic:blipFill>
                    <a:blip r:embed="rId16"/>
                    <a:stretch>
                      <a:fillRect/>
                    </a:stretch>
                  </pic:blipFill>
                  <pic:spPr>
                    <a:xfrm>
                      <a:off x="0" y="0"/>
                      <a:ext cx="5486400" cy="5582316"/>
                    </a:xfrm>
                    <a:prstGeom prst="rect"/>
                  </pic:spPr>
                </pic:pic>
              </a:graphicData>
            </a:graphic>
          </wp:inline>
        </w:drawing>
      </w:r>
    </w:p>
    <w:p>
      <w:pPr>
        <w:pStyle w:val="Caption"/>
        <w:spacing w:after="240"/>
      </w:pPr>
      <w:r>
        <w:t>Figur 1. Fyndplatser för naturvårdsarter i och inom 17 meter från samrådsanmälan. Markörer utan svart kant är placerade på fyndplatsen. Markörer med svart kant är placerade vid sidan av fyndplatsen har ett svart streck som visar fyndplatsens exakta position. Kartans mittpunktskoordinat är N 6248720, E 466764 i SWEREF 99 TM.</w:t>
      </w:r>
    </w:p>
    <w:p>
      <w:r>
        <w:t>I och inom 17 meter från samrådsanmälan finns fynd av 6 naturvårdsarter, varav 2 är rödlistade, 1 är fridlyst, 2 är typiska (T) och 3 är signalarter (S): kustgrimmia (VU), svart skogssnigel (NT), brandticka (S), tibast (S, T), västlig hakmossa (S) och järpe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 xml:space="preserve">Brandticka </w:t>
      </w:r>
      <w:r>
        <w:t>förekommer främst i olikåldrig fuktig granskog med mycket död ved, ofta i kärrkanter eller vid bäckar på lokaler med hög luftfuktighet. Växer huvudsakligen på grova granlågor, någon enstaka gång på tall, asp eller björk, och verkar knuten till ved som först rötats av klibbticka. Arten var tidigare rödlistad men en sentida ökning, bland annat i barkborreangripna granplanteringar i sydligaste Skandinavien har förändrat hotbilden. Populationen i landet kan påverkas negativt av kalavverkning och ett skogsbruk som innebär att mängden grova granlågor minskar. Även dikning och gallring som leder till ett torrare mikroklimat på växtplatserna kan ha negativ inverkan. För att säkerställa en gynnsam bevarandestatus på sikt bör områdesskydd av artens livsmiljöer upprättas på ett sätt som tryggar livskraftiga populationer på landskapsnivå. Vid skogsbruk bör grov död ved och skyddszoner vid kärr och vattendrag lämnas, och träd tillåtas åldras och dö på ett sätt som skapar kontinuerlig tillgång på livsmiljöer (SLU Artdatabanken, 2025).</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typisk art för </w:t>
      </w:r>
      <w:r>
        <w:rPr>
          <w:i/>
        </w:rPr>
        <w:t>9050 Näringsrik granskog</w:t>
      </w:r>
      <w:r>
        <w:t xml:space="preserve"> och värdväxt för de två fjärilsarterna större tibastmal och brun tibastmal (CR) (SLU Artdatabanken, 2024; Nitare &amp; Skogsstyrelsen, 2019).</w:t>
      </w:r>
    </w:p>
    <w:p>
      <w:r>
        <w:rPr>
          <w:b/>
        </w:rPr>
        <w:t>Järpe (§4)</w:t>
      </w:r>
      <w:r>
        <w:t xml:space="preserve">, som är upptagen i bilaga 1 och 2 EU:s fågeldirektiv, är mycket stationär inom sitt revir som är minst 25 hektar stort. Livsmiljöerna utgörs av tät barrskog med inblandning av lövträd och en väl utvecklad flerskiktad struktur med bärris och yngre eller undertryckta, täta granar i ett lägre skikt, ofta utmed bäckar och åar inne i den skyddande granskogen. Den överlever inte om dess livsmiljö kalavverkas och är även känslig för röjning, gallring och avverkning där unga granar och lövträd inte sparas i tillräcklig omfattning. Arten finns i sammanhängande grandominerad skog över hela Sverige men förekomsterna är betydligt glesare i Götaland än i övriga landet. Järpe är typisk art för </w:t>
      </w:r>
      <w:r>
        <w:rPr>
          <w:i/>
        </w:rPr>
        <w:t xml:space="preserve">9010 Taiga, 9080 Lövsumpskog </w:t>
      </w:r>
      <w:r>
        <w:t xml:space="preserve">och </w:t>
      </w:r>
      <w:r>
        <w:rPr>
          <w:i/>
        </w:rPr>
        <w:t xml:space="preserve">9740 Skogsbevuxen myr </w:t>
      </w:r>
      <w:r>
        <w:t>(SLU Artdatabanken, 2026).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Järpe – ekologi samt krav på livsmiljön</w:t>
      </w:r>
    </w:p>
    <w:p>
      <w:r>
        <w:t>Järpe är fridlyst enligt 4§ artskyddsförordningen och upptagen i bilaga 1 och 2 EU:s fågeldirektiv. Den finns i sammanhängande grandominerad skog över hela Sverige men förekomsterna är betydligt glesare i Götaland än i övriga landet. Järpen har sina livsmiljöer i tät barrskog med inblandning av lövträd och en väl utvecklad flerskiktad struktur med bärris och yngre eller undertryckta, täta granar i ett lägre skikt, ofta utmed bäckar och åar inne i den skyddande granskogen (SLU Artdatabanken, 2026).</w:t>
      </w:r>
    </w:p>
    <w:p>
      <w:r>
        <w:t xml:space="preserve">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Järpe är typisk art för </w:t>
      </w:r>
      <w:r>
        <w:rPr>
          <w:i/>
        </w:rPr>
        <w:t>9010 Taiga, 9740 Skogsbevuxen myr</w:t>
      </w:r>
      <w:r>
        <w:t xml:space="preserve"> och </w:t>
      </w:r>
      <w:r>
        <w:rPr>
          <w:i/>
        </w:rPr>
        <w:t>9080 Lövsumpskog</w:t>
      </w:r>
      <w:r>
        <w:t xml:space="preserve"> (SLU Artdatabanken, 2026).</w:t>
      </w:r>
    </w:p>
    <w:p>
      <w:pPr>
        <w:pStyle w:val="Heading2"/>
      </w:pPr>
      <w:r>
        <w:t>Referenser – järpe</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