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29015-2026 i Karlskrona kommun</w:t>
      </w:r>
    </w:p>
    <w:p>
      <w:r>
        <w:t>Denna tillsynsbegäran behandlar höga naturvärden i avverkningsanmälan A 29015-2026 i Karlskrona kommun som inkom 2026-06-23 och omfattar 3,1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015-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6227991, E 534542 i SWEREF 99 TM.</w:t>
      </w:r>
    </w:p>
    <w:p>
      <w:r>
        <w:t>I och inom 21 meter från avverkningsanmälan finns fynd av 18 naturvårdsarter, varav 7 är rödlistade, 7 är fridlysta, 8 är typiska (T) och 7 är signalarter (S): ask (EN), ekticka (NT, T), entita (NT, T, §4), gammelekslav (NT, T), gulsparv (NT, §4), järnsparv (NT, §4), koralltaggsvamp (NT, T), bokoxe (S, T), grå skärelav (S), guldlockmossa (S, T), gulpudrad spiklav (S, T), lömsk flugsvamp (S), lönnlav (S), rostfläck (S, T), gröngöling (§4), kråka (§4), långbensgroda (§4a)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entita (NT, T, §4), gammelekslav (NT, T), koralltaggsvamp (NT, T), bokoxe (S, T), guldlockmossa (S, T), gulpudrad spiklav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