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1000-2026 i Karlskrona kommun</w:t>
      </w:r>
    </w:p>
    <w:p>
      <w:r>
        <w:t>Detta klagomål behandlar höga naturvärden i samrådsanmälan S 1000-2026 i Karlskrona kommun som inkom 2026-04-07 och omfattar 14,7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S 1000-2026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6225073, E 540622 i SWEREF 99 TM.</w:t>
      </w:r>
    </w:p>
    <w:p>
      <w:r>
        <w:t>I och inom 24 meter från samrådsanmälan finns fynd av 16 naturvårdsarter, varav 7 är rödlistade, 7 är fridlysta, 6 är typiska (T) och 4 är signalarter (S): ask (EN), skillerticka (VU), ekticka (NT, T), gammelekslav (NT, T), korallticka (NT), mindre hackspett (NT, T, §4), älg (NT), ekoxe (S, §6), grå skärelav (S), kornig nållav (S, T), rostfläck (S, T), spillkråka (T, §4), långbensgroda (§4a), större vattensalamander (§4a), kopparödla (§6)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