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45735-2025 i Karlskrona kommun</w:t>
      </w:r>
    </w:p>
    <w:p>
      <w:r>
        <w:t>Denna tillsynsbegäran behandlar höga naturvärden i avverkningsanmälan A 45735-2025 i Karlskrona kommun som inkom 2025-09-23 och omfattar 15,1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5735-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6225283, E 541490 i SWEREF 99 TM.</w:t>
      </w:r>
    </w:p>
    <w:p>
      <w:r>
        <w:t>I avverkningsanmälan finns fynd av 9 naturvårdsarter, varav 4 är rödlistade, 1 är fridlyst, 5 är typiska (T) och 5 är signalarter (S): skillerticka (VU), ekticka (NT, T), koralltaggsvamp (NT, T), stor sotdyna (NT), blåmossa (S, T), ekoxe (S, §6), hasselticka (S, T), murgröna (S, T) och rutkremla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koralltaggsvamp (NT, T), blåmossa (S, T), hasselticka (S, T) och murgröna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