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18052-2026 i Karlskrona kommun</w:t>
      </w:r>
    </w:p>
    <w:p>
      <w:r>
        <w:t>Detta klagomål behandlar höga naturvärden i avverkningsanmälan A 18052-2026 i Karlskrona kommun som inkom 2026-04-13 och omfattar 4,5 ha.</w:t>
      </w:r>
    </w:p>
    <w:p>
      <w:pPr>
        <w:pStyle w:val="Caption"/>
      </w:pPr>
      <w:r>
        <w:drawing>
          <wp:inline xmlns:a="http://schemas.openxmlformats.org/drawingml/2006/main" xmlns:pic="http://schemas.openxmlformats.org/drawingml/2006/picture">
            <wp:extent cx="5486400" cy="5683668"/>
            <wp:docPr id="1" name="Picture 1"/>
            <wp:cNvGraphicFramePr>
              <a:graphicFrameLocks noChangeAspect="1"/>
            </wp:cNvGraphicFramePr>
            <a:graphic>
              <a:graphicData uri="http://schemas.openxmlformats.org/drawingml/2006/picture">
                <pic:pic>
                  <pic:nvPicPr>
                    <pic:cNvPr id="0" name="A 18052-2026 karta.png"/>
                    <pic:cNvPicPr/>
                  </pic:nvPicPr>
                  <pic:blipFill>
                    <a:blip r:embed="rId16"/>
                    <a:stretch>
                      <a:fillRect/>
                    </a:stretch>
                  </pic:blipFill>
                  <pic:spPr>
                    <a:xfrm>
                      <a:off x="0" y="0"/>
                      <a:ext cx="5486400" cy="5683668"/>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och har ett svart streck som visar fyndplatsens exakta position. Kartans mittpunktskoordinat är N 6229531, E 543259 i SWEREF 99 TM.</w:t>
      </w:r>
    </w:p>
    <w:p>
      <w:r>
        <w:t>Inom 20 meter från avverkningsanmälan finns fynd av 1 naturvårdsarter, varav 1 är fridlyst och 1 är signalart (S): ekoxe (S,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Ekoxe (§6) </w:t>
      </w:r>
      <w:r>
        <w:t>omfattas av EU:s art- och habitatdirektiv och är fridlyst enligt 6 § artskyddsförordningen.</w:t>
      </w:r>
      <w:r>
        <w:rPr>
          <w:b/>
        </w:rPr>
        <w:t xml:space="preserve"> </w:t>
      </w:r>
      <w:r>
        <w:t>Dess larvutveckling sker i och vid stubbar, i lågor med markkontakt och grövre döda rötter av olika lövträd, även i döda rotdelar på levande träd. I Sverige främst funnen i ek men även några gånger i bok, hassel, ask och björk. Arten lever främst i halvöppna miljöer såsom trädklädda hagmarker eller gles skog, gärna i sydsluttningar. Arten påverkas negativt av brist på grova eller gamla träd och det föreligger indikation på eller misstanke om populationsminskning. Minskningen avser kvalitén på artens habitat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