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38579-2026 i Karlskrona kommun</w:t>
      </w:r>
    </w:p>
    <w:p>
      <w:r>
        <w:t>Denna tillsynsbegäran behandlar höga naturvärden i avverkningsanmälan A 38579-2026 i Karlskrona kommun som inkom 2026-09-17 och omfattar 3,1 ha.</w:t>
      </w:r>
    </w:p>
    <w:p>
      <w:pPr>
        <w:pStyle w:val="Caption"/>
      </w:pPr>
      <w:r>
        <w:drawing>
          <wp:inline xmlns:a="http://schemas.openxmlformats.org/drawingml/2006/main" xmlns:pic="http://schemas.openxmlformats.org/drawingml/2006/picture">
            <wp:extent cx="5486400" cy="5356310"/>
            <wp:docPr id="1" name="Picture 1"/>
            <wp:cNvGraphicFramePr>
              <a:graphicFrameLocks noChangeAspect="1"/>
            </wp:cNvGraphicFramePr>
            <a:graphic>
              <a:graphicData uri="http://schemas.openxmlformats.org/drawingml/2006/picture">
                <pic:pic>
                  <pic:nvPicPr>
                    <pic:cNvPr id="0" name="A 38579-2026 karta.png"/>
                    <pic:cNvPicPr/>
                  </pic:nvPicPr>
                  <pic:blipFill>
                    <a:blip r:embed="rId16"/>
                    <a:stretch>
                      <a:fillRect/>
                    </a:stretch>
                  </pic:blipFill>
                  <pic:spPr>
                    <a:xfrm>
                      <a:off x="0" y="0"/>
                      <a:ext cx="5486400" cy="535631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6230393, E 537904 i SWEREF 99 TM.</w:t>
      </w:r>
    </w:p>
    <w:p>
      <w:r>
        <w:t>I och inom 22 meter från avverkningsanmälan finns fynd av 11 naturvårdsarter, varav 3 är rödlistade, 8 är fridlysta, 2 är typiska (T) och 2 är signalarter (S): ask (EN), sandödla (VU, §4a), ekticka (NT, T), blanksvart trämyra (S), ekoxe (S, §6), spillkråka (T, §4), gröngöling (§4), kråka (§4), långbensgroda (§4a), svartvit flugsnappare (§4)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