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2527-2024 i Karlskrona kommun</w:t>
      </w:r>
    </w:p>
    <w:p>
      <w:r>
        <w:t>Detta klagomål behandlar höga naturvärden i samrådsanmälan S 2527-2024 i Karlskrona kommun som inkom 2024-07-01 och omfattar 98,2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S 2527-2024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6256725, E 533171 i SWEREF 99 TM.</w:t>
      </w:r>
    </w:p>
    <w:p>
      <w:r>
        <w:t>I och inom 21 meter från samrådsanmälan finns fynd av 9 naturvårdsarter, varav 2 är rödlistade, 5 är fridlysta, 5 är typiska (T) och 2 är signalarter (S): skillerticka (VU), bokvårtlav (NT, T), ekoxe (S, §6), trädporella (S, T), blåsippa (T, §9), spillkråka (T, §4), svavelticka (T), havsörn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