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2088-2026 i Karlskrona kommun</w:t>
      </w:r>
    </w:p>
    <w:p>
      <w:r>
        <w:t>Denna tillsynsbegäran behandlar höga naturvärden i samrådsanmälan S 2088-2026 i Karlskrona kommun som inkom 2026-08-02 och omfattar 3,1 ha.</w:t>
      </w:r>
    </w:p>
    <w:p>
      <w:pPr>
        <w:pStyle w:val="Caption"/>
      </w:pPr>
      <w:r>
        <w:drawing>
          <wp:inline xmlns:a="http://schemas.openxmlformats.org/drawingml/2006/main" xmlns:pic="http://schemas.openxmlformats.org/drawingml/2006/picture">
            <wp:extent cx="5486400" cy="5578415"/>
            <wp:docPr id="1" name="Picture 1"/>
            <wp:cNvGraphicFramePr>
              <a:graphicFrameLocks noChangeAspect="1"/>
            </wp:cNvGraphicFramePr>
            <a:graphic>
              <a:graphicData uri="http://schemas.openxmlformats.org/drawingml/2006/picture">
                <pic:pic>
                  <pic:nvPicPr>
                    <pic:cNvPr id="0" name="S 2088-2026 karta.png"/>
                    <pic:cNvPicPr/>
                  </pic:nvPicPr>
                  <pic:blipFill>
                    <a:blip r:embed="rId16"/>
                    <a:stretch>
                      <a:fillRect/>
                    </a:stretch>
                  </pic:blipFill>
                  <pic:spPr>
                    <a:xfrm>
                      <a:off x="0" y="0"/>
                      <a:ext cx="5486400" cy="5578415"/>
                    </a:xfrm>
                    <a:prstGeom prst="rect"/>
                  </pic:spPr>
                </pic:pic>
              </a:graphicData>
            </a:graphic>
          </wp:inline>
        </w:drawing>
      </w:r>
    </w:p>
    <w:p>
      <w:pPr>
        <w:pStyle w:val="Caption"/>
        <w:spacing w:after="240"/>
      </w:pPr>
      <w:r>
        <w:t>Figur 1. Fyndplatser för naturvårdsarter i och inom 3 meter från samrådsanmälan. Markörer utan svart kant är placerade på fyndplatsen. Markörer med svart kant är placerade vid sidan av fyndplatsen och har ett svart streck som visar fyndplatsens exakta position. Kartans mittpunktskoordinat är N 6227575, E 534914 i SWEREF 99 TM.</w:t>
      </w:r>
    </w:p>
    <w:p>
      <w:r>
        <w:t>I och inom 3 meter från samrådsanmälan finns fynd av 4 naturvårdsarter, varav 3 är rödlistade, 3 är typiska (T) och 1 är signalart (S): rosa lundlav (VU, T), oxtungssvamp (NT), stiftklotterlav (NT, T) och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Rosa lundlav (VU)</w:t>
      </w:r>
      <w:r>
        <w:t xml:space="preserve"> växer på ädellövträd i gamla skogar med hög och jämn luftfuktighet och signalerar skyddsvärda ädellövskogar med lång kontinuitet. Minskningstakten uppgår till 30 (20–50) % inom 50 år och överstiger gränsvärdet för Sårbar (VU). Lokaler med rika förekomster bör skyddas. Rosa lundlav är typisk art för </w:t>
      </w:r>
      <w:r>
        <w:rPr>
          <w:i/>
        </w:rPr>
        <w:t xml:space="preserve">9020 Nordlig ädellövskog, 9110 Näringsfattig bokskog, 9130 Näringsrik bokskog </w:t>
      </w:r>
      <w:r>
        <w:t>och</w:t>
      </w:r>
      <w:r>
        <w:rPr>
          <w:i/>
        </w:rPr>
        <w:t xml:space="preserve"> 9180 Ädellövskog i branter</w:t>
      </w:r>
      <w:r>
        <w:t xml:space="preserve"> (SLU Artdatabanken, 2024;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Stiftklotterlav (NT)</w:t>
      </w:r>
      <w:r>
        <w:t xml:space="preserve"> är en mycket bra signalart som alltid signalerar skogsområden med höga naturvärden. Den föredrar skog med långvarig kontinuitet av gamla lövträd och permanent hög och jämn luftfuktighet. Arten missgynnas vid avverkning på eller i direkt anslutning till lokalerna. Naturskogsartade ädellövskogsbestånd med rika populationer av laven bör skyddas. Stiftklotterlav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