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43609-2025 i Karlskrona kommun</w:t>
      </w:r>
    </w:p>
    <w:p>
      <w:r>
        <w:t>Detta dokument behandlar höga naturvärden i avverkningsanmälan A 43609-2025 i Karlskrona kommun. Denna avverkningsanmälan inkom 2025-09-11 00:00:00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gammelekslav (NT), liten sönderfallslav (NT), rosa skärelav (NT), grå skärelav (S) och rostfläck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43609-2025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6218547, E 554665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Liten sönderfallslav (NT)</w:t>
      </w:r>
      <w:r>
        <w:t xml:space="preserve"> växer i södra och mellersta Sverige på ekar eller sällsynt på lind i öppna trädbevuxna marker med lång trädkontinuitet och hög luftfuktighet. Längre norrut växer den på grangrenar i kontinuitetsskogar dominerade av gran med hög luftfuktighet.  I södra och mellersta Sverige är igenväxning av öppna skogar ett hot och längre norrut är avverkning av kontinuitetsskogar ett hot (SLU Artdatabanken, 2024).</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