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31117-2025 i Karlskrona kommun</w:t>
      </w:r>
    </w:p>
    <w:p>
      <w:r>
        <w:t>Detta dokument behandlar höga naturvärden i avverkningsanmälan A 31117-2025 i Karlskrona kommun. Denna avverkningsanmälan inkom 2025-06-24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sydpipistrell (VU, §4a), barbastell (NT, §4a), nordfladdermus (NT, §4a), dvärgpipistrell (§4a), större brunfladdermus (§4a) och trollpipistrell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31117-2025 karta.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6230170, E 534624 i SWEREF 99 TM.</w:t>
      </w:r>
    </w:p>
    <w:p>
      <w:pPr>
        <w:pStyle w:val="Heading1"/>
      </w:pPr>
      <w:r>
        <w:t>Fridlysta arter</w:t>
      </w:r>
    </w:p>
    <w:p>
      <w:r>
        <w:t>Följande fridlysta arter har sina livsmiljöer och växtplatser i den avverkningsanmälda skogen: sydpipistrell (VU, §4a), barbastell (NT, §4a), nordfladdermus (NT, §4a), dvärgpipistrell (§4a), större brunfladdermus (§4a) och trollpipistrell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Sydpipistrell (VU, §4a)</w:t>
      </w:r>
      <w:r>
        <w:t>, rödlistad som sårbar, omfattas av bilaga 4 EU:s art- och habitatdirektiv vilket innebär att arten och dess livsmiljöer är strikt skyddade. Den förekommer i alla typer av glesare skogar med en preferens för lövskog. Man hittar den i trädbärande beteshagar, i kantzoner mellan skog och odlingsmark, i närheten av vatten och i bymiljöer. Den undviker stora sammanhängande öppna miljöer såsom åkrar och hyggen.  Lövrika bryn med stor insektsproduktion, trädbevuxna hagmarker och glesa lövskogar bör bevaras där arten är funnen (SLU Artdatabanken, 2024).</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Sydpipistrell – ekologi samt krav på livsmiljön</w:t>
      </w:r>
    </w:p>
    <w:p>
      <w:r>
        <w:t>Sydpipistrell (VU, §4a), rödlistad som sårbar, omfattas av bilaga 4 EU:s art- och habitatdirektiv vilket innebär att arten och dess livsmiljöer är strikt skyddade. Den förekommer i alla typer av glesare skogar med en preferens för lövskog. Man hittar den i trädbärande beteshagar, i kantzoner mellan skog och odlingsmark, i närheten av vatten och i bymiljöer. Den undviker stora sammanhängande öppna miljöer såsom åkrar och hyggen.  Lövrika bryn med stor insektsproduktion, trädbevuxna hagmarker och glesa lövskogar bör bevaras där arten är funnen (SLU Artdatabanken, 2024).</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sydpipistrell</w:t>
      </w:r>
    </w:p>
    <w:p>
      <w:r>
        <w:t>SLU Artdatabanken, 2024.</w:t>
      </w:r>
      <w:r>
        <w:rPr>
          <w:i/>
        </w:rPr>
        <w:t xml:space="preserve"> Artfakta: sydpipistrell (Pipistrellus pipistrellus)</w:t>
      </w:r>
      <w:r>
        <w:t>. https://artfakta.se/taxa/205994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