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pPr>
        <w:pStyle w:val="Heading1"/>
      </w:pPr>
      <w:r>
        <w:t>Fridlysta arter</w:t>
      </w:r>
    </w:p>
    <w:p>
      <w:r>
        <w:t>Följande fridlysta arter har sina livsmiljöer och växtplatser i den avverkningsanmälda skogen: långbensgroda (NT, §4a), större vattensalamander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Vägledning för hänsyn till större vattensalamander. Vägledningar och kunskapsstöd artskydd - Skogsstyrelsen</w:t>
      </w:r>
    </w:p>
    <w:p>
      <w:r>
        <w:t>SLU Artdatabanken, 2024.</w:t>
      </w:r>
      <w:r>
        <w:rPr>
          <w:i/>
        </w:rPr>
        <w:t xml:space="preserve">  Artfakta: större vattensalamander (Triturus cristatus). 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