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4520-2022 i Ronneby kommun</w:t>
      </w:r>
    </w:p>
    <w:p>
      <w:r>
        <w:t>Detta klagomål behandlar höga naturvärden i samrådsanmälan S 4520-2022 i Ronneby kommun som inkom 2022-08-16 och omfattar 14,9 ha.</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S 4520-2022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6224670, E 515671 i SWEREF 99 TM.</w:t>
      </w:r>
    </w:p>
    <w:p>
      <w:r>
        <w:t>I och inom 16 meter från samrådsanmälan finns fynd av 10 naturvårdsarter, varav 7 är rödlistade, 1 är fridlyst, 4 är typiska (T) och 3 är signalarter (S): ädelkronlav (VU), axveronika (NT), ekticka (NT, T), ekträdlöpare (NT), gammelekslav (NT, T), korallticka (NT), oxtungssvamp (NT), blåmossa (S, T), ekoxe (S, §6)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Ekträdlöpare (NT) </w:t>
      </w:r>
      <w:r>
        <w:t>är en långhorning vars larvutveckling sker under tjock bark på solexponerade, nyligen döda stubbar och lågor av lövträd, främst ek men även bok, i Central- och Sydeuropa även al, björk, lind och kastanj. Brist på nyligen död och solexponerad grov ekved är det största hotet. Det kan orsakas genom avverkningar av ek liksom att blandskogar med ek (och andra lövträd) växer igen med främst gran och därmed blir en skuggig, kall och ogästvänlig miljö för arten. Gamla bestånd med ek och bok bör bevaras så långt möjligt, och inte avverkas. Istället bör skuggande yngre träd (främst gran) selektivt gallras bort så att både gammal ek och bok liksom grov död ved från dessa (t.ex. fallna träd) blir solbelysta (SLU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