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r>
        <w:rPr>
          <w:b/>
        </w:rPr>
        <w:t>Skarptandad barkborre (NT)</w:t>
      </w:r>
      <w:r>
        <w:t xml:space="preserve"> betraktas tillsammans med mindre märgborre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(SLU Artdatabanken, 2024;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