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48900-2024 i Ronneby kommun</w:t>
      </w:r>
    </w:p>
    <w:p>
      <w:r>
        <w:t>Denna tillsynsbegäran behandlar höga naturvärden i avverkningsanmälan A 48900-2024 i Ronneby kommun som inkom 2024-10-29 och omfattar 8,7 ha.</w:t>
      </w:r>
    </w:p>
    <w:p>
      <w:pPr>
        <w:pStyle w:val="Caption"/>
      </w:pPr>
      <w:r>
        <w:drawing>
          <wp:inline xmlns:a="http://schemas.openxmlformats.org/drawingml/2006/main" xmlns:pic="http://schemas.openxmlformats.org/drawingml/2006/picture">
            <wp:extent cx="5131497" cy="5724000"/>
            <wp:docPr id="1" name="Picture 1"/>
            <wp:cNvGraphicFramePr>
              <a:graphicFrameLocks noChangeAspect="1"/>
            </wp:cNvGraphicFramePr>
            <a:graphic>
              <a:graphicData uri="http://schemas.openxmlformats.org/drawingml/2006/picture">
                <pic:pic>
                  <pic:nvPicPr>
                    <pic:cNvPr id="0" name="A 48900-2024 karta.png"/>
                    <pic:cNvPicPr/>
                  </pic:nvPicPr>
                  <pic:blipFill>
                    <a:blip r:embed="rId16"/>
                    <a:stretch>
                      <a:fillRect/>
                    </a:stretch>
                  </pic:blipFill>
                  <pic:spPr>
                    <a:xfrm>
                      <a:off x="0" y="0"/>
                      <a:ext cx="5131497" cy="5724000"/>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6233411, E 527363 i SWEREF 99 TM.</w:t>
      </w:r>
    </w:p>
    <w:p>
      <w:r>
        <w:t>Inom 9 meter från avverkningsanmälan finns fynd av 4 naturvårdsarter, varav 2 är rödlistade, 2 är typiska (T) och 2 är signalarter (S): ekpricklav (VU), oxtungssvamp (NT), havstulpanlav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Ekpricklav (VU)</w:t>
      </w:r>
      <w:r>
        <w:t xml:space="preserve"> växer främst på mycket gamla ekar med grov sprickbark i skogsmiljöer med hög och jämn luftfuktighet. Arten förekommer inte i öppna ekhagar. Denna typ av ekar är sällsynta och nyskapas i mycket begränsad omfattning. Lämpliga biotoper måste bevaras och ett tillräckligt antal unga träd måste tillåtas bli mycket gamla för att på lång sikt ersätta de nuvarande gammelträden. På ekpricklav kan den mycket sällsynta svartspiken </w:t>
      </w:r>
      <w:r>
        <w:rPr>
          <w:i/>
        </w:rPr>
        <w:t>Chaenothecopsis retinens</w:t>
      </w:r>
      <w:r>
        <w:t xml:space="preserve"> (DD) påträffas (SLU Artdatabanken, 2026).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