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2678-2023 i Ronneby kommun</w:t>
      </w:r>
    </w:p>
    <w:p>
      <w:r>
        <w:t>Denna tillsynsbegäran behandlar höga naturvärden i samrådsanmälan S 2678-2023 i Ronneby kommun som inkom 2023-08-15 och omfattar 12,1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S 2678-2023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6235203, E 514419 i SWEREF 99 TM.</w:t>
      </w:r>
    </w:p>
    <w:p>
      <w:r>
        <w:t>I samrådsanmälan finns fynd av 6 naturvårdsarter, varav 2 är rödlistade, 3 är typiska (T) och 4 är signalarter (S): grönhjon (NT), liten sönderfallslav (NT), fällmossa (S, T), murgröna (S, T), rostfläck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Liten sönderfallslav (NT)</w:t>
      </w:r>
      <w:r>
        <w:t xml:space="preserve"> växer i södra och mellersta Sverige på ekar eller sällsynt på lind i öppna trädbevuxna marker med lång trädkontinuitet och hög luftfuktighet. Längre norrut växer den på grangrenar i kontinuitetsskogar dominerade av gran med hög luftfuktighet.  I södra och mellersta Sverige är igenväxning av öppna skogar ett hot och längre norrut är avverkning av kontinuitetsskogar ett hot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