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999-2020 i Ronneby kommun</w:t>
      </w:r>
    </w:p>
    <w:p>
      <w:r>
        <w:t>Denna tillsynsbegäran behandlar höga naturvärden i samrådsanmälan S 999-2020 i Ronneby kommun som inkom 2020-05-04 och omfattar 3,7 ha.</w:t>
      </w:r>
    </w:p>
    <w:p>
      <w:pPr>
        <w:pStyle w:val="Caption"/>
      </w:pPr>
      <w:r>
        <w:drawing>
          <wp:inline xmlns:a="http://schemas.openxmlformats.org/drawingml/2006/main" xmlns:pic="http://schemas.openxmlformats.org/drawingml/2006/picture">
            <wp:extent cx="5486400" cy="4981123"/>
            <wp:docPr id="1" name="Picture 1"/>
            <wp:cNvGraphicFramePr>
              <a:graphicFrameLocks noChangeAspect="1"/>
            </wp:cNvGraphicFramePr>
            <a:graphic>
              <a:graphicData uri="http://schemas.openxmlformats.org/drawingml/2006/picture">
                <pic:pic>
                  <pic:nvPicPr>
                    <pic:cNvPr id="0" name="S 999-2020 karta.png"/>
                    <pic:cNvPicPr/>
                  </pic:nvPicPr>
                  <pic:blipFill>
                    <a:blip r:embed="rId16"/>
                    <a:stretch>
                      <a:fillRect/>
                    </a:stretch>
                  </pic:blipFill>
                  <pic:spPr>
                    <a:xfrm>
                      <a:off x="0" y="0"/>
                      <a:ext cx="5486400" cy="4981123"/>
                    </a:xfrm>
                    <a:prstGeom prst="rect"/>
                  </pic:spPr>
                </pic:pic>
              </a:graphicData>
            </a:graphic>
          </wp:inline>
        </w:drawing>
      </w:r>
    </w:p>
    <w:p>
      <w:pPr>
        <w:pStyle w:val="Caption"/>
        <w:spacing w:after="240"/>
      </w:pPr>
      <w:r>
        <w:t>Figur 1. Fyndplatser för naturvårdsarter i och inom 23 meter från samrådsanmälan. Markörer utan svart kant är placerade på fyndplatsen. Markörer med svart kant är placerade vid sidan av fyndplatsen och har ett svart streck som visar fyndplatsens exakta position. Kartans mittpunktskoordinat är N 6238302, E 523085 i SWEREF 99 TM.</w:t>
      </w:r>
    </w:p>
    <w:p>
      <w:r>
        <w:t>I och inom 23 meter från samrådsanmälan finns fynd av 13 naturvårdsarter, varav 6 är rödlistade, 2 är fridlysta, 7 är typiska (T) och 6 är signalarter (S): almlav (EN, T), boktaggsvamp (VU), lundtaggsvamp (VU), läderbagge (VU, §4a), grå taggsvamp (NT), puderfläck (NT), fällmossa (S, T), grönpyrola (S, T), guldlockmossa (S, T), rostfläck (S, T), sotlav (S, T), zontaggsvamp (S) och hårklomossa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Almlav (EN)</w:t>
      </w:r>
      <w:r>
        <w:t xml:space="preserve"> är en starkt hotad art som främst förekommer i södra och mellersta Sverige men även har några enstaka förekomster upp till Åsele Lappmark. Växer på gamla ädellövträd (till mer än 80% på ask och alm) eller i norra Sverige på sydvända klippväggar av dolomit eller kalksten. Almlav har tillsammans med lunglav (NT) lyfts fram som en av de mest användbara indikatorerna på skyddsvärd ädellövskog. Den visar på såväl hela biotoper som enskilda träd med höga naturvärden. Almlav är typisk art för </w:t>
      </w:r>
      <w:r>
        <w:rPr>
          <w:i/>
        </w:rPr>
        <w:t>9020 Nordlig ädellövskog, 9180 Ädellövskog i branter, 9190 Näringsfattig ekskog, 9070 Trädklädd betesmark</w:t>
      </w:r>
      <w:r>
        <w:t xml:space="preserve"> och </w:t>
      </w:r>
      <w:r>
        <w:rPr>
          <w:i/>
        </w:rPr>
        <w:t>6530 Lövängar</w:t>
      </w:r>
      <w:r>
        <w:t xml:space="preserve"> (SLU Artdatabanken, 2026; Nitare &amp; Skogsstyrelsen, 2019).</w:t>
      </w:r>
    </w:p>
    <w:p>
      <w:r>
        <w:rPr>
          <w:b/>
        </w:rPr>
        <w:t xml:space="preserve">Boktaggsvamp (VU) </w:t>
      </w:r>
      <w:r>
        <w:t>bildar mykorrhiza med bok på kalkrik mark i äldre ädellövskog, främst i glesa, örtrika bokskogar med lång trädkontinuitet. Den nationella populationen är liten och bedöms ha minskat sedan 1970-talet till följd av slutavverkning av äldre bokskog. Arten påverkas negativt av brist på kontinuitetsskog och en minskning av populationen pågår eller förväntas ske. Arten är placerad i toppen på Skogsstyrelsens värdepyramid för bedömning av skog med höga naturvärden (SLU Artdatabanken, 2026; Nitare &amp; Skogsstyrelsen, 2019).</w:t>
      </w:r>
    </w:p>
    <w:p>
      <w:r>
        <w:rPr>
          <w:b/>
        </w:rPr>
        <w:t xml:space="preserve">Lundtaggsvamp (VU) </w:t>
      </w:r>
      <w:r>
        <w:t>är en sydlig, värmeälskande art som bildar mykorrhiza med bok och ek i ädellövskog med rik lundflora. Arten är placerad högst upp i Skogsstyrelsens värdepyramid för bedömning av skog med höga naturvärden och ingår i ett åtgärdsprogram för hotade arter (ÅGP). Samtliga växtplatser bör få formellt områdesskydd och eventuella skötselplaner i naturreservat bör anpassas till svampens behov. Lundtaggsvamp är globalt rödlistad som sårbar (VU) vilket innebär att Sverige har ett internationellt ansvar för arten (SLU Artdatabanken, 2024; Nitare &amp; Skogsstyrelsen, 2019; IUCN, 2015; Nitare, 2006).</w:t>
      </w:r>
    </w:p>
    <w:p>
      <w:r>
        <w:rPr>
          <w:b/>
        </w:rPr>
        <w:t>Läderbagge (VU, §4a)</w:t>
      </w:r>
      <w:r>
        <w:t xml:space="preserve"> är strikt skyddad enligt EU:s art- och habitatdirektiv vilket innebär att hela dess livsmiljö med ekar i alla åldrar behöver bevaras för artens långsiktiga överlevnad i landskapet. Läderbaggens larvutveckling sker i trädhåligheter med mulm i grova ihåliga lövträd, där larven lever av den omgivande, fastare döda veden. I Sverige främst i ek, men även i ask, bok, lind, klibbal, hästkastanj, alm, apel och asp. Läderbaggen påverkar livsmiljön för andra arter genom att utvidga håligheter, öka mängden mulm och höja kvävehalten i mulmen. I stamhåligheter med läderbagge förekommer ofta en rad andra rödlistade arter. Läderbagge är globalt rödlistad som nära hotad (NT) vilket innebär att Sverige har ett internationellt ansvar för arten (IUCN, 2025; SLU Artdatabanken, 2021; Nilsson m.fl. 2002).</w:t>
      </w:r>
    </w:p>
    <w:p>
      <w:r>
        <w:rPr>
          <w:b/>
        </w:rPr>
        <w:t xml:space="preserve">Grå taggsvamp (NT) </w:t>
      </w:r>
      <w:r>
        <w:t>bildar mykorrhiza med bok, ek och asp i lövskog, helst bok- och ekdominerade bestånd. Enstaka fynd har gjorts även i barrskog med lövinslag. Arten är en mycket bra signalart knuten till gamla kontinuitets- och restskogar med ek och bok. Troligen är de flesta förekomsterna att betrakta som kvarlevor (relikter) från förhistorisk tid. Aktuella lokaler behöver bevakas, så att inte någon av de få kända svenska växtplatserna förstörs (SLU Artdatabanken, 2024; Nitare &amp; Skogsstyrelsen, 2019).</w:t>
      </w:r>
    </w:p>
    <w:p>
      <w:r>
        <w:rPr>
          <w:b/>
        </w:rPr>
        <w:t>Puderfläck (NT)</w:t>
      </w:r>
      <w:r>
        <w:t xml:space="preserve"> växer huvudsakligen på halvgamla till gamla ekar med hård bark i halvöppna till slutna lägen. Vid några tillfällen har den hittats på hårdbarkig klibbal på lokaler med hög luftfuktighet. Skogarna har lång skoglig kontinuitet och ofta finns andra rödlistade lavar, t.ex. liten sönderfallslav (NT), på lokalerna. Åtminstone de rikligaste lokalerna bör skyddas (SLU Artdatabanken, 2026).</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p>
      <w:r>
        <w:rPr>
          <w:b/>
        </w:rPr>
        <w:t>Hårklomossa (§8)</w:t>
      </w:r>
      <w:r>
        <w:t xml:space="preserve"> omfattas av EU:s art- och habitatdirektiv vilket innebär att det finns ett uttalat intresse inom Europeiska unionen att bevara arten. Hårklomossa växer på stenblock, trädbaser och basen av buskar och är knuten till zoner intill vattendrag och sjöar med stor vattenståndsamplitud som översvämmas och dränks i princip varje år (Hedenäs m.fl. 1996, Hylander 1998). Arten växer ibland på block i sänkor som periodvis torkar ut. Substraten skall helst vara något skuggade, men arten trivs inte om kärlväxttäcket blir för tätt. Arten hotas framför allt av förändringar i vattenståndsregim och vattenkvalitet. På lokaler med små populationer kan en alltför kraftig utglesning av träd- och/eller buskskikt längs stränderna utgöra ett hot. Hårklomossa är typisk art för </w:t>
      </w:r>
      <w:r>
        <w:rPr>
          <w:i/>
        </w:rPr>
        <w:t xml:space="preserve">9080 Lövsumpskog, 9750 Svämlövskog </w:t>
      </w:r>
      <w:r>
        <w:t>och</w:t>
      </w:r>
      <w:r>
        <w:rPr>
          <w:i/>
        </w:rPr>
        <w:t xml:space="preserve"> 9760 Svämädellövskog</w:t>
      </w:r>
      <w:r>
        <w:t xml:space="preserve"> (SLU Artdatabanken, 2021).</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almlav (EN, T), fällmossa (S, T), grönpyrola (S, T), guldlockmossa (S, T), rostfläck (S, T), sotlav (S, T) och hårklomossa (T, §8).</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