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44537-2026 i Ronneby kommun</w:t>
      </w:r>
    </w:p>
    <w:p>
      <w:r>
        <w:t>Denna tillsynsbegäran behandlar höga naturvärden i avverkningsanmälan A 44537-2026 i Ronneby kommun som inkom 2026-10-26 och omfattar 1,4 ha.</w:t>
      </w:r>
    </w:p>
    <w:p>
      <w:pPr>
        <w:pStyle w:val="Caption"/>
      </w:pPr>
      <w:r>
        <w:drawing>
          <wp:inline xmlns:a="http://schemas.openxmlformats.org/drawingml/2006/main" xmlns:pic="http://schemas.openxmlformats.org/drawingml/2006/picture">
            <wp:extent cx="5486400" cy="3774492"/>
            <wp:docPr id="1" name="Picture 1"/>
            <wp:cNvGraphicFramePr>
              <a:graphicFrameLocks noChangeAspect="1"/>
            </wp:cNvGraphicFramePr>
            <a:graphic>
              <a:graphicData uri="http://schemas.openxmlformats.org/drawingml/2006/picture">
                <pic:pic>
                  <pic:nvPicPr>
                    <pic:cNvPr id="0" name="A 44537-2026 karta.png"/>
                    <pic:cNvPicPr/>
                  </pic:nvPicPr>
                  <pic:blipFill>
                    <a:blip r:embed="rId16"/>
                    <a:stretch>
                      <a:fillRect/>
                    </a:stretch>
                  </pic:blipFill>
                  <pic:spPr>
                    <a:xfrm>
                      <a:off x="0" y="0"/>
                      <a:ext cx="5486400" cy="3774492"/>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6239435, E 520881 i SWEREF 99 TM.</w:t>
      </w:r>
    </w:p>
    <w:p>
      <w:r>
        <w:t>Inom 22 meter från avverkningsanmälan finns fynd av 6 naturvårdsarter, varav 4 är rödlistade, 6 är typiska (T) och 2 är signalarter (S): rosa lundlav (VU, T), bokkantlav (NT, T), bokvårtlav (NT, T), lunglav (NT, T), guldlockmossa (S, T) och platt fjädermossa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Rosa lundlav (VU)</w:t>
      </w:r>
      <w:r>
        <w:t xml:space="preserve"> växer på ädellövträd i gamla skogar med hög och jämn luftfuktighet och signalerar skyddsvärda ädellövskogar med lång kontinuitet. Minskningstakten uppgår till 30 (20–50) % inom 50 år och överstiger gränsvärdet för Sårbar (VU). Lokaler med rika förekomster bör skyddas. Rosa lundlav är typisk art för </w:t>
      </w:r>
      <w:r>
        <w:rPr>
          <w:i/>
        </w:rPr>
        <w:t xml:space="preserve">9020 Nordlig ädellövskog, 9110 Näringsfattig bokskog, 9130 Näringsrik bokskog </w:t>
      </w:r>
      <w:r>
        <w:t>och</w:t>
      </w:r>
      <w:r>
        <w:rPr>
          <w:i/>
        </w:rPr>
        <w:t xml:space="preserve"> 9180 Ädellövskog i branter</w:t>
      </w:r>
      <w:r>
        <w:t xml:space="preserve"> (SLU Artdatabanken, 2024; Nitare &amp; Skogsstyrelsen, 2019).</w:t>
      </w:r>
    </w:p>
    <w:p>
      <w:r>
        <w:rPr>
          <w:b/>
        </w:rPr>
        <w:t>Bokkantlav (NT)</w:t>
      </w:r>
      <w:r>
        <w:t xml:space="preserve"> är en bra signalart för gammal bokskog med höga naturvärden där det normalt finns många andra ovanliga och rödlistade arter. Den förekommer huvudsakligen i gammal skogsmark där den föredrar halvöppna till skuggiga miljöer med hög luftfuktighet. Spara äldre bokbestånd i områden med lång kontinuitet av bok. Bokkantlav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rosa lundlav (VU, T), bokkantlav (NT, T), bokvårtlav (NT, T), lunglav (NT, T), guldlockmossa (S, T) och platt fjädermossa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