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23380-2025 i Ronneby kommun</w:t>
      </w:r>
    </w:p>
    <w:p>
      <w:r>
        <w:t>Detta dokument behandlar höga naturvärden i avverkningsanmälan A 23380-2025 i Ronneby kommun. Denna avverkningsanmälan inkom 2025-05-14 19:19:29 och omfattar 15,6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blek kraterlav (VU), bokkantlav (NT), getinglik svampmygga (NT), koralltaggsvamp (NT), blemlavsklotter (DD), barkkornlav (S), bokfjädermossa (S), havstulpanlav (S), jättesvampmal (S) och klippfrullania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3322"/>
            <wp:docPr id="1" name="Picture 1"/>
            <wp:cNvGraphicFramePr>
              <a:graphicFrameLocks noChangeAspect="1"/>
            </wp:cNvGraphicFramePr>
            <a:graphic>
              <a:graphicData uri="http://schemas.openxmlformats.org/drawingml/2006/picture">
                <pic:pic>
                  <pic:nvPicPr>
                    <pic:cNvPr id="0" name="A 23380-2025 karta.png"/>
                    <pic:cNvPicPr/>
                  </pic:nvPicPr>
                  <pic:blipFill>
                    <a:blip r:embed="rId16"/>
                    <a:stretch>
                      <a:fillRect/>
                    </a:stretch>
                  </pic:blipFill>
                  <pic:spPr>
                    <a:xfrm>
                      <a:off x="0" y="0"/>
                      <a:ext cx="5486400" cy="425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6228885, E 509408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Blemlavsklotter (DD)</w:t>
      </w:r>
      <w:r>
        <w:t xml:space="preserve"> är en lavparasit som växer på den vanliga arten blemlav, men är avsevärt ovanligare än sin värd och enbart hittad i halvöppna lägen i områden med lång trädkontinuitet och hög luftfuktighet. Faktaunderlaget bedöms vara otillräckligt för att avgöra vilken av de olika rödlistningskategorierna som är mest trolig (SLU Artdatabanken, 2026).</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Getinglik svampmygga </w:t>
      </w:r>
      <w:r>
        <w:t>är knuten till äldre löv- och blandskog i skuggigt läge, gärna bäckdalar och raviner med tillgång till grövre, döende och död björk och bok. Larven uppehåller sig i en karakteristisk, vidlyftig väv på undersidan av fnösktickor, där den livnär sig på sporer. Både larven och puppan och den unga imagon utsänder ljus. Kända lokaler och andra områden med höga habitatkvalitéer som gynnar denna art bör i större omfattning skyddas (SLU Artdatabanken, 2026).</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