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26956-2023 i Ronneby kommun</w:t>
      </w:r>
    </w:p>
    <w:p>
      <w:r>
        <w:t>Detta dokument behandlar höga naturvärden i avverkningsanmälan A 26956-2023 i Ronneby kommun. Denna avverkningsanmälan inkom 2023-06-16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26956-2023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r>
        <w:rPr>
          <w:b/>
        </w:rPr>
        <w:t>Molnfläcksbock (NT)</w:t>
      </w:r>
      <w:r>
        <w:t xml:space="preserve"> är en skalbagge vars larvutveckling sker i död, vitrötad, fuktig ved i grenar och klena stamdelar av lövträd, gärna hassel och ek men även bok, avenbok, björk och alm. Arten hotas främst av bristande tillgång på lämplig ved och det är mycket negativt med röjning i områden med gott om gammal hassel och andra lövträd. Gammal hassel bör lämnas ifred, och inte utsättas för röjning eller borthuggning, vilket tyvärr sker vid röjningar av lövrika marker. Lövrika bestånd som efterhand växer igen med gran bör försiktigt gallras (ta bort gran) så att lövträdens kontinuitet inte hotas. Hasselrunnor ute i brukad skogsmark bör generellt sparas vid olika åtgärder. Uttag av hassel, ek och andra ädellövträd som biobränsle bör undvikas så långt det är möjligt. Molnfläcksbock ingår i ett åtgärdsprogram för hotade arter (ÅGP) (SLU Artdatabanken, 2024; Franc, 2013).</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